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60EA8" w:rsidRPr="00531EAE" w14:paraId="00C2A036" w14:textId="77777777" w:rsidTr="00560EA8">
        <w:tc>
          <w:tcPr>
            <w:tcW w:w="4606" w:type="dxa"/>
          </w:tcPr>
          <w:p w14:paraId="3542BC51" w14:textId="0B25E7C6" w:rsidR="00560EA8" w:rsidRPr="00531EAE" w:rsidRDefault="00560EA8" w:rsidP="0021368D">
            <w:pPr>
              <w:jc w:val="center"/>
              <w:rPr>
                <w:rFonts w:ascii="Barlow" w:hAnsi="Barlow"/>
                <w:sz w:val="28"/>
                <w:szCs w:val="28"/>
              </w:rPr>
            </w:pPr>
          </w:p>
        </w:tc>
        <w:tc>
          <w:tcPr>
            <w:tcW w:w="4606" w:type="dxa"/>
          </w:tcPr>
          <w:p w14:paraId="5C3F3AE1" w14:textId="11A95C6F" w:rsidR="00560EA8" w:rsidRPr="00531EAE" w:rsidRDefault="00560EA8" w:rsidP="0021368D">
            <w:pPr>
              <w:jc w:val="center"/>
              <w:rPr>
                <w:rFonts w:ascii="Barlow" w:hAnsi="Barlow"/>
                <w:sz w:val="28"/>
                <w:szCs w:val="28"/>
              </w:rPr>
            </w:pPr>
          </w:p>
        </w:tc>
      </w:tr>
    </w:tbl>
    <w:p w14:paraId="385F7225" w14:textId="131F1FB6" w:rsidR="00FC624D" w:rsidRPr="0096728A" w:rsidRDefault="00531EAE" w:rsidP="0021368D">
      <w:pPr>
        <w:jc w:val="center"/>
        <w:rPr>
          <w:rFonts w:ascii="Barlow" w:hAnsi="Barlow"/>
          <w:color w:val="0B4159"/>
          <w:sz w:val="28"/>
          <w:szCs w:val="28"/>
        </w:rPr>
      </w:pPr>
      <w:r w:rsidRPr="0096728A">
        <w:rPr>
          <w:rFonts w:ascii="Barlow" w:hAnsi="Barlow"/>
          <w:i/>
          <w:noProof/>
          <w:color w:val="0B4159"/>
          <w:sz w:val="24"/>
        </w:rPr>
        <w:drawing>
          <wp:anchor distT="0" distB="0" distL="114300" distR="114300" simplePos="0" relativeHeight="251663872" behindDoc="0" locked="0" layoutInCell="1" allowOverlap="1" wp14:anchorId="7B207B23" wp14:editId="48073D71">
            <wp:simplePos x="0" y="0"/>
            <wp:positionH relativeFrom="column">
              <wp:posOffset>4647565</wp:posOffset>
            </wp:positionH>
            <wp:positionV relativeFrom="paragraph">
              <wp:posOffset>-793750</wp:posOffset>
            </wp:positionV>
            <wp:extent cx="1114425" cy="658495"/>
            <wp:effectExtent l="0" t="0" r="0" b="8255"/>
            <wp:wrapTopAndBottom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CPIAS-CMJN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14425" cy="65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28A">
        <w:rPr>
          <w:rFonts w:ascii="Barlow" w:hAnsi="Barlow"/>
          <w:i/>
          <w:noProof/>
          <w:color w:val="0B4159"/>
          <w:sz w:val="24"/>
        </w:rPr>
        <w:drawing>
          <wp:anchor distT="0" distB="0" distL="114300" distR="114300" simplePos="0" relativeHeight="251657728" behindDoc="0" locked="0" layoutInCell="1" allowOverlap="1" wp14:anchorId="709BD0E4" wp14:editId="26E54E85">
            <wp:simplePos x="0" y="0"/>
            <wp:positionH relativeFrom="column">
              <wp:posOffset>-635</wp:posOffset>
            </wp:positionH>
            <wp:positionV relativeFrom="paragraph">
              <wp:posOffset>-838835</wp:posOffset>
            </wp:positionV>
            <wp:extent cx="1127760" cy="946785"/>
            <wp:effectExtent l="0" t="0" r="0" b="5715"/>
            <wp:wrapTopAndBottom/>
            <wp:docPr id="2385729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72905" name="Image 23857290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65A" w:rsidRPr="0096728A">
        <w:rPr>
          <w:rFonts w:ascii="Barlow" w:hAnsi="Barlow"/>
          <w:color w:val="0B4159"/>
          <w:sz w:val="28"/>
          <w:szCs w:val="28"/>
        </w:rPr>
        <w:t>Evaluation des pratiques professionnelles</w:t>
      </w:r>
    </w:p>
    <w:p w14:paraId="385F7226" w14:textId="77777777" w:rsidR="0011165A" w:rsidRPr="0096728A" w:rsidRDefault="0011165A" w:rsidP="0021368D">
      <w:pPr>
        <w:jc w:val="center"/>
        <w:rPr>
          <w:rFonts w:ascii="Barlow" w:hAnsi="Barlow"/>
          <w:b/>
          <w:color w:val="0B4159"/>
          <w:sz w:val="28"/>
          <w:szCs w:val="28"/>
        </w:rPr>
      </w:pPr>
      <w:r w:rsidRPr="0096728A">
        <w:rPr>
          <w:rFonts w:ascii="Barlow" w:hAnsi="Barlow"/>
          <w:b/>
          <w:color w:val="0B4159"/>
          <w:sz w:val="28"/>
          <w:szCs w:val="28"/>
        </w:rPr>
        <w:t>Antibioprophylaxie en chirurgie et en médecine interventionnelle</w:t>
      </w:r>
    </w:p>
    <w:p w14:paraId="385F7228" w14:textId="416D051A" w:rsidR="004002E5" w:rsidRPr="0096728A" w:rsidRDefault="00281C93" w:rsidP="00AB0602">
      <w:pPr>
        <w:jc w:val="center"/>
        <w:rPr>
          <w:rFonts w:ascii="Barlow" w:hAnsi="Barlow"/>
          <w:b/>
          <w:color w:val="F19D70"/>
          <w:sz w:val="28"/>
          <w:szCs w:val="28"/>
        </w:rPr>
      </w:pPr>
      <w:r w:rsidRPr="0096728A">
        <w:rPr>
          <w:rFonts w:ascii="Barlow" w:hAnsi="Barlow"/>
          <w:b/>
          <w:color w:val="F19D70"/>
          <w:sz w:val="28"/>
          <w:szCs w:val="28"/>
        </w:rPr>
        <w:t xml:space="preserve">Audit organisationnel </w:t>
      </w:r>
      <w:r w:rsidR="00A81EE4" w:rsidRPr="0096728A">
        <w:rPr>
          <w:rFonts w:ascii="Barlow" w:hAnsi="Barlow"/>
          <w:b/>
          <w:color w:val="F19D70"/>
          <w:sz w:val="28"/>
          <w:szCs w:val="28"/>
        </w:rPr>
        <w:t>stru</w:t>
      </w:r>
      <w:r w:rsidR="006133B0" w:rsidRPr="0096728A">
        <w:rPr>
          <w:rFonts w:ascii="Barlow" w:hAnsi="Barlow"/>
          <w:b/>
          <w:color w:val="F19D70"/>
          <w:sz w:val="28"/>
          <w:szCs w:val="28"/>
        </w:rPr>
        <w:t>cture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740"/>
      </w:tblGrid>
      <w:tr w:rsidR="004002E5" w:rsidRPr="00531EAE" w14:paraId="385F722D" w14:textId="77777777" w:rsidTr="004002E5">
        <w:tc>
          <w:tcPr>
            <w:tcW w:w="7054" w:type="dxa"/>
          </w:tcPr>
          <w:p w14:paraId="385F7229" w14:textId="77777777" w:rsidR="004002E5" w:rsidRPr="00531EAE" w:rsidRDefault="004002E5" w:rsidP="00F94533">
            <w:pPr>
              <w:jc w:val="center"/>
              <w:rPr>
                <w:rFonts w:ascii="Barlow" w:hAnsi="Barlow"/>
              </w:rPr>
            </w:pPr>
          </w:p>
        </w:tc>
        <w:tc>
          <w:tcPr>
            <w:tcW w:w="709" w:type="dxa"/>
          </w:tcPr>
          <w:p w14:paraId="385F722A" w14:textId="77777777" w:rsidR="004002E5" w:rsidRPr="00531EAE" w:rsidRDefault="004002E5" w:rsidP="00F94533">
            <w:pPr>
              <w:jc w:val="center"/>
              <w:rPr>
                <w:rFonts w:ascii="Barlow" w:hAnsi="Barlow"/>
              </w:rPr>
            </w:pPr>
            <w:r w:rsidRPr="00531EAE">
              <w:rPr>
                <w:rFonts w:ascii="Barlow" w:hAnsi="Barlow"/>
              </w:rPr>
              <w:t>OUI</w:t>
            </w:r>
          </w:p>
        </w:tc>
        <w:tc>
          <w:tcPr>
            <w:tcW w:w="709" w:type="dxa"/>
          </w:tcPr>
          <w:p w14:paraId="385F722B" w14:textId="77777777" w:rsidR="004002E5" w:rsidRPr="00531EAE" w:rsidRDefault="004002E5" w:rsidP="00F94533">
            <w:pPr>
              <w:jc w:val="center"/>
              <w:rPr>
                <w:rFonts w:ascii="Barlow" w:hAnsi="Barlow"/>
              </w:rPr>
            </w:pPr>
            <w:r w:rsidRPr="00531EAE">
              <w:rPr>
                <w:rFonts w:ascii="Barlow" w:hAnsi="Barlow"/>
              </w:rPr>
              <w:t>NON</w:t>
            </w:r>
          </w:p>
        </w:tc>
        <w:tc>
          <w:tcPr>
            <w:tcW w:w="740" w:type="dxa"/>
          </w:tcPr>
          <w:p w14:paraId="385F722C" w14:textId="77777777" w:rsidR="004002E5" w:rsidRPr="00531EAE" w:rsidRDefault="004002E5" w:rsidP="00F94533">
            <w:pPr>
              <w:jc w:val="center"/>
              <w:rPr>
                <w:rFonts w:ascii="Barlow" w:hAnsi="Barlow"/>
              </w:rPr>
            </w:pPr>
            <w:r w:rsidRPr="00531EAE">
              <w:rPr>
                <w:rFonts w:ascii="Barlow" w:hAnsi="Barlow"/>
              </w:rPr>
              <w:t>NA</w:t>
            </w:r>
            <w:r w:rsidR="00C07425" w:rsidRPr="00531EAE">
              <w:rPr>
                <w:rFonts w:ascii="Barlow" w:hAnsi="Barlow"/>
              </w:rPr>
              <w:t>*</w:t>
            </w:r>
          </w:p>
        </w:tc>
      </w:tr>
      <w:tr w:rsidR="004002E5" w:rsidRPr="00531EAE" w14:paraId="385F7236" w14:textId="77777777" w:rsidTr="004002E5">
        <w:tc>
          <w:tcPr>
            <w:tcW w:w="7054" w:type="dxa"/>
          </w:tcPr>
          <w:p w14:paraId="385F722E" w14:textId="7F7D6132" w:rsidR="004002E5" w:rsidRPr="00271EAE" w:rsidRDefault="004002E5" w:rsidP="00B41FB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Il existe une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>commission des agents anti-infectieux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au sein de l’établissement</w:t>
            </w:r>
          </w:p>
          <w:p w14:paraId="385F722F" w14:textId="77777777" w:rsidR="0081070B" w:rsidRPr="00531EAE" w:rsidRDefault="0081070B" w:rsidP="00FD27EB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 xml:space="preserve">Répondre </w:t>
            </w:r>
            <w:r w:rsidR="00745999" w:rsidRPr="00531EAE">
              <w:rPr>
                <w:rFonts w:ascii="Barlow" w:hAnsi="Barlow"/>
                <w:i/>
                <w:sz w:val="20"/>
                <w:szCs w:val="20"/>
              </w:rPr>
              <w:t>OUI</w:t>
            </w:r>
            <w:r w:rsidRPr="00531EAE">
              <w:rPr>
                <w:rFonts w:ascii="Barlow" w:hAnsi="Barlow"/>
                <w:i/>
                <w:sz w:val="20"/>
                <w:szCs w:val="20"/>
              </w:rPr>
              <w:t xml:space="preserve"> s’il existe dans l’établissement une commission structurée composée de professionnels (anesthésiste réanimateur, chirurgien, infectiologue, référent en antibiothérapie, hygiéniste, pharmacien, </w:t>
            </w:r>
            <w:proofErr w:type="gramStart"/>
            <w:r w:rsidRPr="00531EAE">
              <w:rPr>
                <w:rFonts w:ascii="Barlow" w:hAnsi="Barlow"/>
                <w:i/>
                <w:sz w:val="20"/>
                <w:szCs w:val="20"/>
              </w:rPr>
              <w:t>biologiste,…</w:t>
            </w:r>
            <w:proofErr w:type="gramEnd"/>
            <w:r w:rsidRPr="00531EAE">
              <w:rPr>
                <w:rFonts w:ascii="Barlow" w:hAnsi="Barlow"/>
                <w:i/>
                <w:sz w:val="20"/>
                <w:szCs w:val="20"/>
              </w:rPr>
              <w:t>) menant une réflexion sur l’antibioprophylaxie et l’antibiothérapie et validant les protocoles sur ce sujet. Il peut s’agir selon les organisations d’une commission des antibiotiques, d’un sous-groupe du comité du médicament, …</w:t>
            </w:r>
          </w:p>
          <w:p w14:paraId="385F7230" w14:textId="77777777" w:rsidR="0081070B" w:rsidRPr="00531EAE" w:rsidRDefault="0081070B" w:rsidP="00FD27EB">
            <w:pPr>
              <w:jc w:val="both"/>
              <w:rPr>
                <w:rFonts w:ascii="Barlow" w:hAnsi="Barlow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si aucun groupe de professionnels n’est structuré (composition non définie, pas de réunion…)</w:t>
            </w:r>
          </w:p>
        </w:tc>
        <w:tc>
          <w:tcPr>
            <w:tcW w:w="709" w:type="dxa"/>
          </w:tcPr>
          <w:p w14:paraId="385F7231" w14:textId="77777777" w:rsidR="00745999" w:rsidRPr="00127F98" w:rsidRDefault="00745999" w:rsidP="00745999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32" w14:textId="77777777" w:rsidR="004002E5" w:rsidRPr="00127F98" w:rsidRDefault="00745999" w:rsidP="00745999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33" w14:textId="77777777" w:rsidR="00745999" w:rsidRPr="00127F98" w:rsidRDefault="00745999" w:rsidP="00745999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34" w14:textId="77777777" w:rsidR="004002E5" w:rsidRPr="00127F98" w:rsidRDefault="00745999" w:rsidP="00745999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35" w14:textId="77777777" w:rsidR="004002E5" w:rsidRPr="00127F98" w:rsidRDefault="004002E5">
            <w:pPr>
              <w:rPr>
                <w:rFonts w:ascii="Barlow" w:hAnsi="Barlow"/>
                <w:color w:val="0B4159"/>
              </w:rPr>
            </w:pPr>
          </w:p>
        </w:tc>
      </w:tr>
      <w:tr w:rsidR="00697EC5" w:rsidRPr="00531EAE" w14:paraId="385F723D" w14:textId="77777777" w:rsidTr="004002E5">
        <w:tc>
          <w:tcPr>
            <w:tcW w:w="7054" w:type="dxa"/>
          </w:tcPr>
          <w:p w14:paraId="385F7237" w14:textId="77777777" w:rsidR="00697EC5" w:rsidRPr="00271EAE" w:rsidRDefault="00697EC5" w:rsidP="0008552F">
            <w:pPr>
              <w:pStyle w:val="Paragraphedeliste"/>
              <w:numPr>
                <w:ilvl w:val="0"/>
                <w:numId w:val="3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Un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>référent antibiotique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est identifié au sein de l’établissement</w:t>
            </w:r>
          </w:p>
          <w:p w14:paraId="385F7238" w14:textId="2F6B033C" w:rsidR="00697EC5" w:rsidRPr="00531EAE" w:rsidRDefault="00697EC5" w:rsidP="0008552F">
            <w:pPr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s’il existe un référent antibiotique dans l’établissement titulaire d’</w:t>
            </w:r>
            <w:r w:rsidR="002D2F93" w:rsidRPr="00531EAE">
              <w:rPr>
                <w:rFonts w:ascii="Barlow" w:hAnsi="Barlow"/>
                <w:i/>
                <w:sz w:val="20"/>
                <w:szCs w:val="20"/>
              </w:rPr>
              <w:t xml:space="preserve">une formation adaptée en </w:t>
            </w:r>
            <w:r w:rsidRPr="00531EAE">
              <w:rPr>
                <w:rFonts w:ascii="Barlow" w:hAnsi="Barlow"/>
                <w:i/>
                <w:sz w:val="20"/>
                <w:szCs w:val="20"/>
              </w:rPr>
              <w:t>thérapeutique anti</w:t>
            </w:r>
            <w:r w:rsidR="00C046E0" w:rsidRPr="00531EAE">
              <w:rPr>
                <w:rFonts w:ascii="Barlow" w:hAnsi="Barlow"/>
                <w:i/>
                <w:sz w:val="20"/>
                <w:szCs w:val="20"/>
              </w:rPr>
              <w:t>-</w:t>
            </w:r>
            <w:r w:rsidRPr="00531EAE">
              <w:rPr>
                <w:rFonts w:ascii="Barlow" w:hAnsi="Barlow"/>
                <w:i/>
                <w:sz w:val="20"/>
                <w:szCs w:val="20"/>
              </w:rPr>
              <w:t>infectieuse</w:t>
            </w:r>
            <w:r w:rsidR="00046616" w:rsidRPr="00531EAE">
              <w:rPr>
                <w:rFonts w:ascii="Barlow" w:hAnsi="Barlow"/>
                <w:i/>
                <w:sz w:val="20"/>
                <w:szCs w:val="20"/>
              </w:rPr>
              <w:t xml:space="preserve"> </w:t>
            </w:r>
            <w:r w:rsidR="002D2F93" w:rsidRPr="00531EAE">
              <w:rPr>
                <w:rFonts w:ascii="Barlow" w:hAnsi="Barlow"/>
                <w:i/>
                <w:sz w:val="20"/>
                <w:szCs w:val="20"/>
              </w:rPr>
              <w:t>(infectiologue, DESC, DU…)</w:t>
            </w:r>
          </w:p>
          <w:p w14:paraId="385F7239" w14:textId="77777777" w:rsidR="00697EC5" w:rsidRPr="00531EAE" w:rsidRDefault="00697EC5" w:rsidP="0008552F">
            <w:pPr>
              <w:rPr>
                <w:rFonts w:ascii="Barlow" w:hAnsi="Barlow"/>
                <w:color w:val="1F497D" w:themeColor="text2"/>
                <w:sz w:val="24"/>
                <w:szCs w:val="24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s’il n’existe pas de référent formé au sein de l’établissement</w:t>
            </w:r>
          </w:p>
        </w:tc>
        <w:tc>
          <w:tcPr>
            <w:tcW w:w="709" w:type="dxa"/>
          </w:tcPr>
          <w:p w14:paraId="385F723A" w14:textId="77777777" w:rsidR="00697EC5" w:rsidRPr="00127F98" w:rsidRDefault="00697EC5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3B" w14:textId="77777777" w:rsidR="00697EC5" w:rsidRPr="00127F98" w:rsidRDefault="00697EC5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3C" w14:textId="77777777" w:rsidR="00697EC5" w:rsidRPr="00127F98" w:rsidRDefault="00697EC5">
            <w:pPr>
              <w:rPr>
                <w:rFonts w:ascii="Barlow" w:hAnsi="Barlow"/>
                <w:color w:val="0B4159"/>
              </w:rPr>
            </w:pPr>
          </w:p>
        </w:tc>
      </w:tr>
      <w:tr w:rsidR="00593783" w:rsidRPr="00531EAE" w14:paraId="385F723F" w14:textId="77777777" w:rsidTr="0054174F">
        <w:tc>
          <w:tcPr>
            <w:tcW w:w="9212" w:type="dxa"/>
            <w:gridSpan w:val="4"/>
          </w:tcPr>
          <w:p w14:paraId="385F723E" w14:textId="77777777" w:rsidR="00593783" w:rsidRPr="00531EAE" w:rsidRDefault="00593783" w:rsidP="00B41FBE">
            <w:pPr>
              <w:pStyle w:val="Paragraphedeliste"/>
              <w:numPr>
                <w:ilvl w:val="0"/>
                <w:numId w:val="3"/>
              </w:numPr>
              <w:rPr>
                <w:rFonts w:ascii="Barlow" w:hAnsi="Barlow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Une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>politique d’antibioprophylaxie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est définie :</w:t>
            </w:r>
          </w:p>
        </w:tc>
      </w:tr>
      <w:tr w:rsidR="004002E5" w:rsidRPr="00531EAE" w14:paraId="385F7248" w14:textId="77777777" w:rsidTr="004002E5">
        <w:tc>
          <w:tcPr>
            <w:tcW w:w="7054" w:type="dxa"/>
          </w:tcPr>
          <w:p w14:paraId="385F7240" w14:textId="77777777" w:rsidR="004002E5" w:rsidRPr="00271EAE" w:rsidRDefault="004002E5" w:rsidP="0008552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pour l’ensemble des activités chirurgicales ou </w:t>
            </w:r>
            <w:r w:rsidR="00C046E0" w:rsidRPr="00271EAE">
              <w:rPr>
                <w:rFonts w:ascii="Barlow" w:hAnsi="Barlow"/>
                <w:color w:val="0B4159"/>
                <w:sz w:val="24"/>
                <w:szCs w:val="24"/>
              </w:rPr>
              <w:t>de médecine interventionnelle</w:t>
            </w:r>
          </w:p>
          <w:p w14:paraId="385F7241" w14:textId="77777777" w:rsidR="00F94533" w:rsidRPr="00531EAE" w:rsidRDefault="00745999" w:rsidP="0008552F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s’il existe un document décrivant la politique générale de bon usage des antibiotiques intégrant les principes généraux de l’antibioprophylaxie (objectifs, organisation, responsabilités,…</w:t>
            </w:r>
            <w:r w:rsidR="00982140" w:rsidRPr="00531EAE">
              <w:rPr>
                <w:rFonts w:ascii="Barlow" w:hAnsi="Barlow"/>
                <w:i/>
                <w:sz w:val="20"/>
                <w:szCs w:val="20"/>
              </w:rPr>
              <w:t>).</w:t>
            </w:r>
          </w:p>
          <w:p w14:paraId="385F7242" w14:textId="77777777" w:rsidR="00745999" w:rsidRPr="00531EAE" w:rsidRDefault="00745999" w:rsidP="0008552F">
            <w:pPr>
              <w:jc w:val="both"/>
              <w:rPr>
                <w:rFonts w:ascii="Barlow" w:hAnsi="Barlow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s’il n’existe pas de document formalisant les principes généraux de l’antibioprop</w:t>
            </w:r>
            <w:r w:rsidR="00982140" w:rsidRPr="00531EAE">
              <w:rPr>
                <w:rFonts w:ascii="Barlow" w:hAnsi="Barlow"/>
                <w:i/>
                <w:sz w:val="20"/>
                <w:szCs w:val="20"/>
              </w:rPr>
              <w:t>hylaxie.</w:t>
            </w:r>
          </w:p>
        </w:tc>
        <w:tc>
          <w:tcPr>
            <w:tcW w:w="709" w:type="dxa"/>
          </w:tcPr>
          <w:p w14:paraId="385F7243" w14:textId="77777777" w:rsidR="007A5FE3" w:rsidRPr="00127F98" w:rsidRDefault="007A5FE3" w:rsidP="00745999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44" w14:textId="77777777" w:rsidR="004002E5" w:rsidRPr="00127F98" w:rsidRDefault="00745999" w:rsidP="00745999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45" w14:textId="77777777" w:rsidR="007A5FE3" w:rsidRPr="00127F98" w:rsidRDefault="007A5FE3" w:rsidP="00745999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46" w14:textId="77777777" w:rsidR="004002E5" w:rsidRPr="00127F98" w:rsidRDefault="00745999" w:rsidP="00745999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47" w14:textId="77777777" w:rsidR="004002E5" w:rsidRPr="00127F98" w:rsidRDefault="004002E5">
            <w:pPr>
              <w:rPr>
                <w:rFonts w:ascii="Barlow" w:hAnsi="Barlow"/>
                <w:color w:val="0B4159"/>
              </w:rPr>
            </w:pPr>
          </w:p>
        </w:tc>
      </w:tr>
      <w:tr w:rsidR="004002E5" w:rsidRPr="00531EAE" w14:paraId="385F7253" w14:textId="77777777" w:rsidTr="004002E5">
        <w:tc>
          <w:tcPr>
            <w:tcW w:w="7054" w:type="dxa"/>
          </w:tcPr>
          <w:p w14:paraId="385F7249" w14:textId="77777777" w:rsidR="004002E5" w:rsidRPr="00271EAE" w:rsidRDefault="004002E5" w:rsidP="004002E5">
            <w:pPr>
              <w:pStyle w:val="Paragraphedeliste"/>
              <w:numPr>
                <w:ilvl w:val="0"/>
                <w:numId w:val="1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>pour chaque discipline chirurgicale et/ou chaque activité de médecine interventionnelle</w:t>
            </w:r>
          </w:p>
          <w:p w14:paraId="385F724A" w14:textId="77777777" w:rsidR="00745999" w:rsidRPr="00531EAE" w:rsidRDefault="00745999" w:rsidP="0008552F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s’il existe un document décrivant les spécificités de l’organisation de l’antibioprophylaxie dans les différentes disciplines chirurgicales de l’établissement</w:t>
            </w:r>
            <w:r w:rsidR="00982140" w:rsidRPr="00531EAE">
              <w:rPr>
                <w:rFonts w:ascii="Barlow" w:hAnsi="Barlow"/>
                <w:i/>
                <w:sz w:val="20"/>
                <w:szCs w:val="20"/>
              </w:rPr>
              <w:t>.</w:t>
            </w:r>
          </w:p>
          <w:p w14:paraId="385F724B" w14:textId="77777777" w:rsidR="00745999" w:rsidRPr="00531EAE" w:rsidRDefault="00745999" w:rsidP="0008552F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s’il n’existe pas de document décrivant les spécificités de l’antibioprophylaxie dans les diffé</w:t>
            </w:r>
            <w:r w:rsidR="00982140" w:rsidRPr="00531EAE">
              <w:rPr>
                <w:rFonts w:ascii="Barlow" w:hAnsi="Barlow"/>
                <w:i/>
                <w:sz w:val="20"/>
                <w:szCs w:val="20"/>
              </w:rPr>
              <w:t>rentes disciplines chirurgicales.</w:t>
            </w:r>
          </w:p>
          <w:p w14:paraId="385F724C" w14:textId="77777777" w:rsidR="00982140" w:rsidRPr="00531EAE" w:rsidRDefault="00982140" w:rsidP="0008552F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NA s’il n’y a qu’une seule discipline chirurgicale</w:t>
            </w:r>
            <w:r w:rsidR="00D730CC" w:rsidRPr="00531EAE">
              <w:rPr>
                <w:rFonts w:ascii="Barlow" w:hAnsi="Barlow"/>
                <w:i/>
                <w:sz w:val="20"/>
                <w:szCs w:val="20"/>
              </w:rPr>
              <w:t>/activité interventionnelle</w:t>
            </w:r>
            <w:r w:rsidRPr="00531EAE">
              <w:rPr>
                <w:rFonts w:ascii="Barlow" w:hAnsi="Barlow"/>
                <w:i/>
                <w:sz w:val="20"/>
                <w:szCs w:val="20"/>
              </w:rPr>
              <w:t xml:space="preserve"> au sein de l’établissement.</w:t>
            </w:r>
          </w:p>
        </w:tc>
        <w:tc>
          <w:tcPr>
            <w:tcW w:w="709" w:type="dxa"/>
          </w:tcPr>
          <w:p w14:paraId="385F724D" w14:textId="77777777" w:rsidR="007A5FE3" w:rsidRPr="00127F98" w:rsidRDefault="007A5FE3" w:rsidP="00982140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4E" w14:textId="77777777" w:rsidR="004002E5" w:rsidRPr="00127F98" w:rsidRDefault="00982140" w:rsidP="00982140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4F" w14:textId="77777777" w:rsidR="007A5FE3" w:rsidRPr="00127F98" w:rsidRDefault="007A5FE3" w:rsidP="00982140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50" w14:textId="77777777" w:rsidR="004002E5" w:rsidRPr="00127F98" w:rsidRDefault="00982140" w:rsidP="00982140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51" w14:textId="77777777" w:rsidR="007A5FE3" w:rsidRPr="00127F98" w:rsidRDefault="007A5FE3" w:rsidP="00982140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52" w14:textId="77777777" w:rsidR="004002E5" w:rsidRPr="00127F98" w:rsidRDefault="00982140" w:rsidP="00982140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</w:tr>
      <w:tr w:rsidR="00D730CC" w:rsidRPr="00531EAE" w14:paraId="385F725C" w14:textId="77777777" w:rsidTr="004002E5">
        <w:tc>
          <w:tcPr>
            <w:tcW w:w="7054" w:type="dxa"/>
          </w:tcPr>
          <w:p w14:paraId="385F7254" w14:textId="77777777" w:rsidR="00D730CC" w:rsidRPr="00271EAE" w:rsidRDefault="00D730CC" w:rsidP="0008552F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Les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>responsabilités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sont définies concernant la prescription de l’antibioprophylaxie</w:t>
            </w:r>
          </w:p>
          <w:p w14:paraId="385F7255" w14:textId="77777777" w:rsidR="00D730CC" w:rsidRPr="00531EAE" w:rsidRDefault="00D730CC" w:rsidP="0008552F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s’il existe un document écrit et validé définissant les responsabilités en matière de presc</w:t>
            </w:r>
            <w:r w:rsidR="00C046E0" w:rsidRPr="00531EAE">
              <w:rPr>
                <w:rFonts w:ascii="Barlow" w:hAnsi="Barlow"/>
                <w:i/>
                <w:sz w:val="20"/>
                <w:szCs w:val="20"/>
              </w:rPr>
              <w:t>ription de l’antibioprophylaxie à l’échelon institutionnel.</w:t>
            </w:r>
          </w:p>
          <w:p w14:paraId="385F7256" w14:textId="77777777" w:rsidR="00D730CC" w:rsidRPr="00531EAE" w:rsidRDefault="00D730CC" w:rsidP="0008552F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s’il n’existe pas de document écrit et validé définissant les responsabilités en matière de prescription de l’antibioprophylaxie.</w:t>
            </w:r>
          </w:p>
        </w:tc>
        <w:tc>
          <w:tcPr>
            <w:tcW w:w="709" w:type="dxa"/>
          </w:tcPr>
          <w:p w14:paraId="385F7257" w14:textId="77777777" w:rsidR="00D730CC" w:rsidRPr="00127F98" w:rsidRDefault="00D730CC" w:rsidP="009C4E7F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58" w14:textId="77777777" w:rsidR="00D730CC" w:rsidRPr="00127F98" w:rsidRDefault="00D730CC" w:rsidP="009C4E7F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59" w14:textId="77777777" w:rsidR="00D730CC" w:rsidRPr="00127F98" w:rsidRDefault="00D730CC" w:rsidP="009C4E7F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5A" w14:textId="77777777" w:rsidR="00D730CC" w:rsidRPr="00127F98" w:rsidRDefault="00D730CC" w:rsidP="009C4E7F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5B" w14:textId="77777777" w:rsidR="00D730CC" w:rsidRPr="00127F98" w:rsidRDefault="00D730CC">
            <w:pPr>
              <w:rPr>
                <w:rFonts w:ascii="Barlow" w:hAnsi="Barlow"/>
                <w:color w:val="0B4159"/>
              </w:rPr>
            </w:pPr>
          </w:p>
        </w:tc>
      </w:tr>
    </w:tbl>
    <w:p w14:paraId="1EEA00E6" w14:textId="77777777" w:rsidR="003917A7" w:rsidRPr="00531EAE" w:rsidRDefault="003917A7">
      <w:pPr>
        <w:rPr>
          <w:rFonts w:ascii="Barlow" w:hAnsi="Barlow"/>
        </w:rPr>
      </w:pPr>
      <w:r w:rsidRPr="00531EAE">
        <w:rPr>
          <w:rFonts w:ascii="Barlow" w:hAnsi="Barlow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740"/>
      </w:tblGrid>
      <w:tr w:rsidR="00963A99" w:rsidRPr="00531EAE" w14:paraId="385F7265" w14:textId="77777777" w:rsidTr="004002E5">
        <w:tc>
          <w:tcPr>
            <w:tcW w:w="7054" w:type="dxa"/>
          </w:tcPr>
          <w:p w14:paraId="385F725D" w14:textId="24B3C06E" w:rsidR="00963A99" w:rsidRPr="00271EAE" w:rsidRDefault="00963A99" w:rsidP="0010688F">
            <w:pPr>
              <w:pStyle w:val="Paragraphedeliste"/>
              <w:numPr>
                <w:ilvl w:val="0"/>
                <w:numId w:val="3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lastRenderedPageBreak/>
              <w:t xml:space="preserve">Les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 xml:space="preserve">responsabilités 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>sont définies concernant l’administration et la surveillance de l’antibioprophylaxie</w:t>
            </w:r>
          </w:p>
          <w:p w14:paraId="385F725E" w14:textId="77777777" w:rsidR="00963A99" w:rsidRPr="00531EAE" w:rsidRDefault="00963A99" w:rsidP="0008552F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s’il existe un document écrit et validé définissant les responsabilités en matière d’administration et de surveillance de l’antibioprophylaxie</w:t>
            </w:r>
            <w:r w:rsidR="00C046E0" w:rsidRPr="00531EAE">
              <w:rPr>
                <w:rFonts w:ascii="Barlow" w:hAnsi="Barlow"/>
                <w:i/>
                <w:sz w:val="20"/>
                <w:szCs w:val="20"/>
              </w:rPr>
              <w:t xml:space="preserve"> à l’échelon institutionnel</w:t>
            </w:r>
            <w:r w:rsidRPr="00531EAE">
              <w:rPr>
                <w:rFonts w:ascii="Barlow" w:hAnsi="Barlow"/>
                <w:i/>
                <w:sz w:val="20"/>
                <w:szCs w:val="20"/>
              </w:rPr>
              <w:t>.</w:t>
            </w:r>
          </w:p>
          <w:p w14:paraId="385F725F" w14:textId="77777777" w:rsidR="00963A99" w:rsidRPr="00531EAE" w:rsidRDefault="00963A99" w:rsidP="0008552F">
            <w:pPr>
              <w:jc w:val="both"/>
              <w:rPr>
                <w:rFonts w:ascii="Barlow" w:hAnsi="Barlow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s’il n’existe pas de document écrit et validé les responsabilités en matière d’administration et de surveillance de l’antibioprophylaxie.</w:t>
            </w:r>
          </w:p>
        </w:tc>
        <w:tc>
          <w:tcPr>
            <w:tcW w:w="709" w:type="dxa"/>
          </w:tcPr>
          <w:p w14:paraId="385F7260" w14:textId="77777777" w:rsidR="00963A99" w:rsidRPr="00127F98" w:rsidRDefault="00963A99" w:rsidP="009C4E7F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61" w14:textId="77777777" w:rsidR="00963A99" w:rsidRPr="00127F98" w:rsidRDefault="00963A99" w:rsidP="009C4E7F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62" w14:textId="77777777" w:rsidR="00963A99" w:rsidRPr="00127F98" w:rsidRDefault="00963A99" w:rsidP="009C4E7F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63" w14:textId="77777777" w:rsidR="00963A99" w:rsidRPr="00127F98" w:rsidRDefault="00963A99" w:rsidP="009C4E7F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64" w14:textId="77777777" w:rsidR="00963A99" w:rsidRPr="00127F98" w:rsidRDefault="00963A99">
            <w:pPr>
              <w:rPr>
                <w:rFonts w:ascii="Barlow" w:hAnsi="Barlow"/>
                <w:color w:val="0B4159"/>
              </w:rPr>
            </w:pPr>
          </w:p>
        </w:tc>
      </w:tr>
      <w:tr w:rsidR="00380897" w:rsidRPr="00531EAE" w14:paraId="385F726E" w14:textId="77777777" w:rsidTr="004002E5">
        <w:tc>
          <w:tcPr>
            <w:tcW w:w="7054" w:type="dxa"/>
          </w:tcPr>
          <w:p w14:paraId="385F7266" w14:textId="77777777" w:rsidR="00380897" w:rsidRPr="00271EAE" w:rsidRDefault="00380897" w:rsidP="0010688F">
            <w:pPr>
              <w:pStyle w:val="Paragraphedeliste"/>
              <w:numPr>
                <w:ilvl w:val="0"/>
                <w:numId w:val="3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Les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>outils informatiques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facilitent la prescription, le contrôle et la traçabilité de l’antibioprophylaxie.</w:t>
            </w:r>
          </w:p>
          <w:p w14:paraId="385F7267" w14:textId="77777777" w:rsidR="00380897" w:rsidRPr="00531EAE" w:rsidRDefault="00380897" w:rsidP="0008552F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si le logiciel ou les logiciels informatiques sont parfaitement adaptés à la prescription, au contrôle et à la traçabilité de l’antibioprophylaxie</w:t>
            </w:r>
          </w:p>
          <w:p w14:paraId="385F7268" w14:textId="77777777" w:rsidR="00380897" w:rsidRPr="00531EAE" w:rsidRDefault="00380897" w:rsidP="0008552F">
            <w:pPr>
              <w:jc w:val="both"/>
              <w:rPr>
                <w:rFonts w:ascii="Barlow" w:hAnsi="Barlow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si les outils informatiques sont inadaptés : absence d’interface entre les différents logiciels, retranscriptions nécessaires,….</w:t>
            </w:r>
          </w:p>
        </w:tc>
        <w:tc>
          <w:tcPr>
            <w:tcW w:w="709" w:type="dxa"/>
          </w:tcPr>
          <w:p w14:paraId="385F7269" w14:textId="77777777" w:rsidR="00380897" w:rsidRPr="00127F98" w:rsidRDefault="00380897" w:rsidP="009C4E7F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6A" w14:textId="77777777" w:rsidR="00380897" w:rsidRPr="00127F98" w:rsidRDefault="00380897" w:rsidP="009C4E7F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6B" w14:textId="77777777" w:rsidR="00380897" w:rsidRPr="00127F98" w:rsidRDefault="00380897" w:rsidP="009C4E7F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6C" w14:textId="77777777" w:rsidR="00380897" w:rsidRPr="00127F98" w:rsidRDefault="00380897" w:rsidP="009C4E7F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6D" w14:textId="77777777" w:rsidR="00380897" w:rsidRPr="00127F98" w:rsidRDefault="00380897">
            <w:pPr>
              <w:rPr>
                <w:rFonts w:ascii="Barlow" w:hAnsi="Barlow"/>
                <w:color w:val="0B4159"/>
              </w:rPr>
            </w:pPr>
          </w:p>
        </w:tc>
      </w:tr>
      <w:tr w:rsidR="00380897" w:rsidRPr="00531EAE" w14:paraId="385F7277" w14:textId="77777777" w:rsidTr="004002E5">
        <w:tc>
          <w:tcPr>
            <w:tcW w:w="7054" w:type="dxa"/>
          </w:tcPr>
          <w:p w14:paraId="385F726F" w14:textId="77777777" w:rsidR="00380897" w:rsidRPr="00271EAE" w:rsidRDefault="00380897" w:rsidP="0010688F">
            <w:pPr>
              <w:pStyle w:val="Paragraphedeliste"/>
              <w:numPr>
                <w:ilvl w:val="0"/>
                <w:numId w:val="3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Les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>protocoles d’antibioprophylaxie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sont écrits et co-signés par les anesthésistes réanimateurs et les opérateurs</w:t>
            </w:r>
          </w:p>
          <w:p w14:paraId="385F7270" w14:textId="77777777" w:rsidR="00380897" w:rsidRPr="00531EAE" w:rsidRDefault="00380897" w:rsidP="0008552F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 xml:space="preserve">Répondre OUI si les protocoles d’antibioprophylaxie sont rédigés et co-signés par les anesthésistes-réanimateurs, les opérateurs (chirurgiens, les gastroentérologues, les </w:t>
            </w:r>
            <w:proofErr w:type="gramStart"/>
            <w:r w:rsidRPr="00531EAE">
              <w:rPr>
                <w:rFonts w:ascii="Barlow" w:hAnsi="Barlow"/>
                <w:i/>
                <w:sz w:val="20"/>
                <w:szCs w:val="20"/>
              </w:rPr>
              <w:t>radiologues,…</w:t>
            </w:r>
            <w:proofErr w:type="gramEnd"/>
            <w:r w:rsidRPr="00531EAE">
              <w:rPr>
                <w:rFonts w:ascii="Barlow" w:hAnsi="Barlow"/>
                <w:i/>
                <w:sz w:val="20"/>
                <w:szCs w:val="20"/>
              </w:rPr>
              <w:t>).</w:t>
            </w:r>
          </w:p>
          <w:p w14:paraId="385F7271" w14:textId="77777777" w:rsidR="00380897" w:rsidRPr="00531EAE" w:rsidRDefault="00380897" w:rsidP="0008552F">
            <w:pPr>
              <w:jc w:val="both"/>
              <w:rPr>
                <w:rFonts w:ascii="Barlow" w:hAnsi="Barlow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</w:t>
            </w:r>
            <w:r w:rsidR="0062033E" w:rsidRPr="00531EAE">
              <w:rPr>
                <w:rFonts w:ascii="Barlow" w:hAnsi="Barlow"/>
                <w:i/>
                <w:sz w:val="20"/>
                <w:szCs w:val="20"/>
              </w:rPr>
              <w:t xml:space="preserve"> si</w:t>
            </w:r>
            <w:r w:rsidRPr="00531EAE">
              <w:rPr>
                <w:rFonts w:ascii="Barlow" w:hAnsi="Barlow"/>
                <w:i/>
                <w:sz w:val="20"/>
                <w:szCs w:val="20"/>
              </w:rPr>
              <w:t xml:space="preserve"> les protocoles ne sont pas rédigés et co-signés collectivement.</w:t>
            </w:r>
          </w:p>
        </w:tc>
        <w:tc>
          <w:tcPr>
            <w:tcW w:w="709" w:type="dxa"/>
          </w:tcPr>
          <w:p w14:paraId="385F7272" w14:textId="77777777" w:rsidR="00380897" w:rsidRPr="00127F98" w:rsidRDefault="00380897" w:rsidP="009C4E7F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73" w14:textId="77777777" w:rsidR="00380897" w:rsidRPr="00127F98" w:rsidRDefault="00380897" w:rsidP="009C4E7F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74" w14:textId="77777777" w:rsidR="00380897" w:rsidRPr="00127F98" w:rsidRDefault="00380897" w:rsidP="009C4E7F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75" w14:textId="77777777" w:rsidR="00380897" w:rsidRPr="00127F98" w:rsidRDefault="00380897" w:rsidP="009C4E7F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76" w14:textId="77777777" w:rsidR="00380897" w:rsidRPr="00127F98" w:rsidRDefault="00380897">
            <w:pPr>
              <w:rPr>
                <w:rFonts w:ascii="Barlow" w:hAnsi="Barlow"/>
                <w:color w:val="0B4159"/>
              </w:rPr>
            </w:pPr>
          </w:p>
        </w:tc>
      </w:tr>
      <w:tr w:rsidR="004002E5" w:rsidRPr="00531EAE" w14:paraId="385F7285" w14:textId="77777777" w:rsidTr="004002E5">
        <w:tc>
          <w:tcPr>
            <w:tcW w:w="7054" w:type="dxa"/>
          </w:tcPr>
          <w:p w14:paraId="385F7278" w14:textId="77777777" w:rsidR="004002E5" w:rsidRPr="00271EAE" w:rsidRDefault="004002E5" w:rsidP="0010688F">
            <w:pPr>
              <w:pStyle w:val="Paragraphedeliste"/>
              <w:numPr>
                <w:ilvl w:val="0"/>
                <w:numId w:val="3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Les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>protocoles d’antibioprophylaxie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sont validés par l’instance en charge de la lutte contre les infections associées aux soins et par la </w:t>
            </w:r>
            <w:r w:rsidR="00D15AAB"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commission des </w:t>
            </w:r>
            <w:r w:rsidR="00C07425"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agents </w:t>
            </w:r>
            <w:r w:rsidR="00D15AAB" w:rsidRPr="00271EAE">
              <w:rPr>
                <w:rFonts w:ascii="Barlow" w:hAnsi="Barlow"/>
                <w:color w:val="0B4159"/>
                <w:sz w:val="24"/>
                <w:szCs w:val="24"/>
              </w:rPr>
              <w:t>anti</w:t>
            </w:r>
            <w:r w:rsidR="0062033E" w:rsidRPr="00271EAE">
              <w:rPr>
                <w:rFonts w:ascii="Barlow" w:hAnsi="Barlow"/>
                <w:color w:val="0B4159"/>
                <w:sz w:val="24"/>
                <w:szCs w:val="24"/>
              </w:rPr>
              <w:t>-</w:t>
            </w:r>
            <w:r w:rsidR="00D15AAB" w:rsidRPr="00271EAE">
              <w:rPr>
                <w:rFonts w:ascii="Barlow" w:hAnsi="Barlow"/>
                <w:color w:val="0B4159"/>
                <w:sz w:val="24"/>
                <w:szCs w:val="24"/>
              </w:rPr>
              <w:t>infectieux</w:t>
            </w:r>
          </w:p>
          <w:p w14:paraId="385F7279" w14:textId="77777777" w:rsidR="0062033E" w:rsidRPr="00531EAE" w:rsidRDefault="0062033E" w:rsidP="0008552F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si les protocoles d’antibioprophylaxie sont validés par le CLIN ou l’instance équivalente et par la commission définie ci-dessus.</w:t>
            </w:r>
          </w:p>
          <w:p w14:paraId="385F727A" w14:textId="77777777" w:rsidR="0062033E" w:rsidRPr="00531EAE" w:rsidRDefault="0062033E" w:rsidP="0008552F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si les protocoles ne sont pas validés par ces commissions.</w:t>
            </w:r>
          </w:p>
          <w:p w14:paraId="385F727B" w14:textId="77777777" w:rsidR="0062033E" w:rsidRPr="00531EAE" w:rsidRDefault="0062033E" w:rsidP="0008552F">
            <w:pPr>
              <w:jc w:val="both"/>
              <w:rPr>
                <w:rFonts w:ascii="Barlow" w:hAnsi="Barlow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NA en l’absence de protocole formalisé.</w:t>
            </w:r>
          </w:p>
        </w:tc>
        <w:tc>
          <w:tcPr>
            <w:tcW w:w="709" w:type="dxa"/>
          </w:tcPr>
          <w:p w14:paraId="385F727C" w14:textId="77777777" w:rsidR="0062033E" w:rsidRPr="00127F98" w:rsidRDefault="0062033E" w:rsidP="0062033E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7D" w14:textId="77777777" w:rsidR="0062033E" w:rsidRPr="00127F98" w:rsidRDefault="0062033E" w:rsidP="0062033E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7E" w14:textId="77777777" w:rsidR="004002E5" w:rsidRPr="00127F98" w:rsidRDefault="0062033E" w:rsidP="0062033E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7F" w14:textId="77777777" w:rsidR="0062033E" w:rsidRPr="00127F98" w:rsidRDefault="0062033E" w:rsidP="0062033E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80" w14:textId="77777777" w:rsidR="0062033E" w:rsidRPr="00127F98" w:rsidRDefault="0062033E" w:rsidP="0062033E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81" w14:textId="77777777" w:rsidR="004002E5" w:rsidRPr="00127F98" w:rsidRDefault="0062033E" w:rsidP="0062033E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82" w14:textId="77777777" w:rsidR="0062033E" w:rsidRPr="00127F98" w:rsidRDefault="0062033E" w:rsidP="0062033E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83" w14:textId="77777777" w:rsidR="0062033E" w:rsidRPr="00127F98" w:rsidRDefault="0062033E" w:rsidP="0062033E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84" w14:textId="77777777" w:rsidR="004002E5" w:rsidRPr="00127F98" w:rsidRDefault="0062033E" w:rsidP="0062033E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</w:tr>
      <w:tr w:rsidR="0089123E" w:rsidRPr="00531EAE" w14:paraId="385F728E" w14:textId="77777777" w:rsidTr="004002E5">
        <w:tc>
          <w:tcPr>
            <w:tcW w:w="7054" w:type="dxa"/>
          </w:tcPr>
          <w:p w14:paraId="385F7286" w14:textId="77777777" w:rsidR="0089123E" w:rsidRPr="00271EAE" w:rsidRDefault="0089123E" w:rsidP="0010688F">
            <w:pPr>
              <w:pStyle w:val="Paragraphedeliste"/>
              <w:numPr>
                <w:ilvl w:val="0"/>
                <w:numId w:val="3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Une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 xml:space="preserve">organisation 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>est mise en œuvre pour respecter la mise en œuvre des protocoles et délais d’injection des antibiotiques</w:t>
            </w:r>
          </w:p>
          <w:p w14:paraId="385F7287" w14:textId="77777777" w:rsidR="0089123E" w:rsidRPr="00531EAE" w:rsidRDefault="0089123E" w:rsidP="0008552F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si les protocoles sont disponibles en format papier et/ou informatique</w:t>
            </w:r>
          </w:p>
          <w:p w14:paraId="385F7288" w14:textId="77777777" w:rsidR="0089123E" w:rsidRPr="00531EAE" w:rsidRDefault="0089123E" w:rsidP="0008552F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si les protocoles ne sont pas directement accessibles</w:t>
            </w:r>
          </w:p>
        </w:tc>
        <w:tc>
          <w:tcPr>
            <w:tcW w:w="709" w:type="dxa"/>
          </w:tcPr>
          <w:p w14:paraId="385F7289" w14:textId="77777777" w:rsidR="0089123E" w:rsidRPr="00127F98" w:rsidRDefault="0089123E" w:rsidP="009C4E7F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8A" w14:textId="77777777" w:rsidR="0089123E" w:rsidRPr="00127F98" w:rsidRDefault="0089123E" w:rsidP="009C4E7F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8B" w14:textId="77777777" w:rsidR="0089123E" w:rsidRPr="00127F98" w:rsidRDefault="0089123E" w:rsidP="009C4E7F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8C" w14:textId="77777777" w:rsidR="0089123E" w:rsidRPr="00127F98" w:rsidRDefault="0089123E" w:rsidP="009C4E7F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8D" w14:textId="77777777" w:rsidR="0089123E" w:rsidRPr="00127F98" w:rsidRDefault="0089123E">
            <w:pPr>
              <w:rPr>
                <w:rFonts w:ascii="Barlow" w:hAnsi="Barlow"/>
                <w:color w:val="0B4159"/>
              </w:rPr>
            </w:pPr>
          </w:p>
        </w:tc>
      </w:tr>
      <w:tr w:rsidR="0089123E" w:rsidRPr="00531EAE" w14:paraId="385F7297" w14:textId="77777777" w:rsidTr="00861F17">
        <w:tc>
          <w:tcPr>
            <w:tcW w:w="7054" w:type="dxa"/>
          </w:tcPr>
          <w:p w14:paraId="385F728F" w14:textId="77777777" w:rsidR="0089123E" w:rsidRPr="00271EAE" w:rsidRDefault="0089123E" w:rsidP="0010688F">
            <w:pPr>
              <w:pStyle w:val="Paragraphedeliste"/>
              <w:numPr>
                <w:ilvl w:val="0"/>
                <w:numId w:val="3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Des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>évaluations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ont déjà été conduites sur les pratiques d’antibioprophylaxie</w:t>
            </w:r>
          </w:p>
          <w:p w14:paraId="385F7290" w14:textId="18774124" w:rsidR="0089123E" w:rsidRPr="00531EAE" w:rsidRDefault="0089123E" w:rsidP="0008552F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si une évaluation des pratiques d’antibioprophylaxie a été réalisée au cours des 3 dernières années</w:t>
            </w:r>
          </w:p>
          <w:p w14:paraId="385F7291" w14:textId="77777777" w:rsidR="0089123E" w:rsidRPr="00531EAE" w:rsidRDefault="0089123E" w:rsidP="0008552F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en l’absence d’évaluation</w:t>
            </w:r>
            <w:r w:rsidR="00697EC5" w:rsidRPr="00531EAE">
              <w:rPr>
                <w:rFonts w:ascii="Barlow" w:hAnsi="Barlow"/>
                <w:i/>
                <w:sz w:val="20"/>
                <w:szCs w:val="20"/>
              </w:rPr>
              <w:t xml:space="preserve"> </w:t>
            </w:r>
            <w:r w:rsidRPr="00531EAE">
              <w:rPr>
                <w:rFonts w:ascii="Barlow" w:hAnsi="Barlow"/>
                <w:i/>
                <w:sz w:val="20"/>
                <w:szCs w:val="20"/>
              </w:rPr>
              <w:t>ou en cas d’évaluation il y a plus de 3 ans</w:t>
            </w:r>
          </w:p>
        </w:tc>
        <w:tc>
          <w:tcPr>
            <w:tcW w:w="709" w:type="dxa"/>
          </w:tcPr>
          <w:p w14:paraId="385F7292" w14:textId="77777777" w:rsidR="0089123E" w:rsidRPr="00127F98" w:rsidRDefault="0089123E" w:rsidP="009C4E7F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93" w14:textId="77777777" w:rsidR="0089123E" w:rsidRPr="00127F98" w:rsidRDefault="0089123E" w:rsidP="009C4E7F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94" w14:textId="77777777" w:rsidR="0089123E" w:rsidRPr="00127F98" w:rsidRDefault="0089123E" w:rsidP="009C4E7F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95" w14:textId="77777777" w:rsidR="0089123E" w:rsidRPr="00127F98" w:rsidRDefault="0089123E" w:rsidP="009C4E7F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96" w14:textId="77777777" w:rsidR="0089123E" w:rsidRPr="00127F98" w:rsidRDefault="0089123E" w:rsidP="00861F17">
            <w:pPr>
              <w:rPr>
                <w:rFonts w:ascii="Barlow" w:hAnsi="Barlow"/>
                <w:color w:val="0B4159"/>
              </w:rPr>
            </w:pPr>
          </w:p>
        </w:tc>
      </w:tr>
      <w:tr w:rsidR="008E604D" w:rsidRPr="00531EAE" w14:paraId="351427B2" w14:textId="77777777" w:rsidTr="00861F17">
        <w:tc>
          <w:tcPr>
            <w:tcW w:w="7054" w:type="dxa"/>
          </w:tcPr>
          <w:p w14:paraId="6DB7B4AD" w14:textId="77777777" w:rsidR="008E604D" w:rsidRPr="00271EAE" w:rsidRDefault="00524032" w:rsidP="0010688F">
            <w:pPr>
              <w:pStyle w:val="Paragraphedeliste"/>
              <w:numPr>
                <w:ilvl w:val="0"/>
                <w:numId w:val="3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Une </w:t>
            </w:r>
            <w:r w:rsidRPr="00271EAE">
              <w:rPr>
                <w:rFonts w:ascii="Barlow" w:hAnsi="Barlow"/>
                <w:b/>
                <w:bCs/>
                <w:color w:val="0B4159"/>
                <w:sz w:val="24"/>
                <w:szCs w:val="24"/>
              </w:rPr>
              <w:t>analyse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des écarts est réalisée</w:t>
            </w:r>
          </w:p>
          <w:p w14:paraId="57A472E2" w14:textId="453CB5AC" w:rsidR="00A64063" w:rsidRPr="00531EAE" w:rsidRDefault="00B64FA6" w:rsidP="0008552F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 xml:space="preserve">Répondre oui si </w:t>
            </w:r>
            <w:r w:rsidR="00A64063" w:rsidRPr="00531EAE">
              <w:rPr>
                <w:rFonts w:ascii="Barlow" w:hAnsi="Barlow"/>
                <w:i/>
                <w:sz w:val="20"/>
                <w:szCs w:val="20"/>
              </w:rPr>
              <w:t>l’analyse a permis un ajustement des pratiques</w:t>
            </w:r>
          </w:p>
          <w:p w14:paraId="6F8C7E91" w14:textId="42474AE5" w:rsidR="00C4397A" w:rsidRPr="00531EAE" w:rsidRDefault="002F74B1" w:rsidP="0008552F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</w:t>
            </w:r>
            <w:r w:rsidR="00F84C96" w:rsidRPr="00531EAE">
              <w:rPr>
                <w:rFonts w:ascii="Barlow" w:hAnsi="Barlow"/>
                <w:i/>
                <w:sz w:val="20"/>
                <w:szCs w:val="20"/>
              </w:rPr>
              <w:t xml:space="preserve"> en absence d’analyse des écarts</w:t>
            </w:r>
            <w:r w:rsidR="00D475D1" w:rsidRPr="00531EAE">
              <w:rPr>
                <w:rFonts w:ascii="Barlow" w:hAnsi="Barlow"/>
                <w:i/>
                <w:sz w:val="20"/>
                <w:szCs w:val="20"/>
              </w:rPr>
              <w:t xml:space="preserve"> ou sans ajustement</w:t>
            </w:r>
          </w:p>
        </w:tc>
        <w:tc>
          <w:tcPr>
            <w:tcW w:w="709" w:type="dxa"/>
          </w:tcPr>
          <w:p w14:paraId="7BE07D21" w14:textId="77777777" w:rsidR="008E604D" w:rsidRPr="00531EAE" w:rsidRDefault="008E604D" w:rsidP="00B64FA6">
            <w:pPr>
              <w:rPr>
                <w:rFonts w:ascii="Barlow" w:hAnsi="Barlow"/>
                <w:color w:val="1F497D" w:themeColor="text2"/>
              </w:rPr>
            </w:pPr>
          </w:p>
        </w:tc>
        <w:tc>
          <w:tcPr>
            <w:tcW w:w="709" w:type="dxa"/>
          </w:tcPr>
          <w:p w14:paraId="6E2D4FF3" w14:textId="77777777" w:rsidR="008E604D" w:rsidRPr="00531EAE" w:rsidRDefault="008E604D" w:rsidP="009C4E7F">
            <w:pPr>
              <w:jc w:val="center"/>
              <w:rPr>
                <w:rFonts w:ascii="Barlow" w:hAnsi="Barlow"/>
                <w:color w:val="1F497D" w:themeColor="text2"/>
              </w:rPr>
            </w:pPr>
          </w:p>
        </w:tc>
        <w:tc>
          <w:tcPr>
            <w:tcW w:w="740" w:type="dxa"/>
          </w:tcPr>
          <w:p w14:paraId="5B610BF2" w14:textId="77777777" w:rsidR="008E604D" w:rsidRPr="00531EAE" w:rsidRDefault="008E604D" w:rsidP="00861F17">
            <w:pPr>
              <w:rPr>
                <w:rFonts w:ascii="Barlow" w:hAnsi="Barlow"/>
              </w:rPr>
            </w:pPr>
          </w:p>
        </w:tc>
      </w:tr>
    </w:tbl>
    <w:p w14:paraId="385F7298" w14:textId="77777777" w:rsidR="00C07425" w:rsidRPr="00531EAE" w:rsidRDefault="00C07425">
      <w:pPr>
        <w:rPr>
          <w:rFonts w:ascii="Barlow" w:hAnsi="Barlow"/>
          <w:sz w:val="16"/>
          <w:szCs w:val="16"/>
        </w:rPr>
      </w:pPr>
      <w:r w:rsidRPr="00531EAE">
        <w:rPr>
          <w:rFonts w:ascii="Barlow" w:hAnsi="Barlow"/>
          <w:sz w:val="16"/>
          <w:szCs w:val="16"/>
        </w:rPr>
        <w:t>*NA : non adapté</w:t>
      </w:r>
    </w:p>
    <w:p w14:paraId="385F7299" w14:textId="77777777" w:rsidR="007D2195" w:rsidRPr="00531EAE" w:rsidRDefault="007D2195" w:rsidP="0021368D">
      <w:pPr>
        <w:rPr>
          <w:rFonts w:ascii="Barlow" w:hAnsi="Barlow"/>
        </w:rPr>
      </w:pPr>
    </w:p>
    <w:p w14:paraId="385F729A" w14:textId="77777777" w:rsidR="00C046E0" w:rsidRPr="00531EAE" w:rsidRDefault="00C046E0">
      <w:pPr>
        <w:rPr>
          <w:rFonts w:ascii="Barlow" w:hAnsi="Barlow"/>
        </w:rPr>
      </w:pPr>
      <w:r w:rsidRPr="00531EAE">
        <w:rPr>
          <w:rFonts w:ascii="Barlow" w:hAnsi="Barlow"/>
        </w:rPr>
        <w:br w:type="page"/>
      </w:r>
    </w:p>
    <w:p w14:paraId="37C720CB" w14:textId="6AADBBC7" w:rsidR="001E3847" w:rsidRPr="00271EAE" w:rsidRDefault="001E3847" w:rsidP="001E3847">
      <w:pPr>
        <w:jc w:val="center"/>
        <w:rPr>
          <w:rFonts w:ascii="Barlow" w:hAnsi="Barlow"/>
          <w:b/>
          <w:color w:val="F19D70"/>
          <w:sz w:val="28"/>
          <w:szCs w:val="28"/>
        </w:rPr>
      </w:pPr>
      <w:r w:rsidRPr="00271EAE">
        <w:rPr>
          <w:rFonts w:ascii="Barlow" w:hAnsi="Barlow"/>
          <w:b/>
          <w:color w:val="F19D70"/>
          <w:sz w:val="28"/>
          <w:szCs w:val="28"/>
        </w:rPr>
        <w:lastRenderedPageBreak/>
        <w:t xml:space="preserve">Audit organisationnel </w:t>
      </w:r>
      <w:r w:rsidR="006133B0" w:rsidRPr="00271EAE">
        <w:rPr>
          <w:rFonts w:ascii="Barlow" w:hAnsi="Barlow"/>
          <w:b/>
          <w:color w:val="F19D70"/>
          <w:sz w:val="28"/>
          <w:szCs w:val="28"/>
        </w:rPr>
        <w:t>service</w:t>
      </w:r>
    </w:p>
    <w:p w14:paraId="385F729C" w14:textId="77777777" w:rsidR="0011165A" w:rsidRPr="00531EAE" w:rsidRDefault="00CE057B">
      <w:pPr>
        <w:rPr>
          <w:rFonts w:ascii="Barlow" w:hAnsi="Barlow"/>
        </w:rPr>
      </w:pPr>
      <w:r w:rsidRPr="00531EAE">
        <w:rPr>
          <w:rFonts w:ascii="Barlow" w:hAnsi="Barlow"/>
        </w:rPr>
        <w:t xml:space="preserve">Service : </w:t>
      </w:r>
      <w:r w:rsidRPr="00531EAE">
        <w:rPr>
          <w:rFonts w:ascii="Barlow" w:hAnsi="Barlow"/>
        </w:rPr>
        <w:tab/>
      </w:r>
      <w:r w:rsidRPr="00531EAE">
        <w:rPr>
          <w:rFonts w:ascii="Barlow" w:hAnsi="Barlow"/>
        </w:rPr>
        <w:tab/>
      </w:r>
      <w:r w:rsidRPr="00531EAE">
        <w:rPr>
          <w:rFonts w:ascii="Barlow" w:hAnsi="Barlow"/>
        </w:rPr>
        <w:tab/>
      </w:r>
      <w:r w:rsidRPr="00531EAE">
        <w:rPr>
          <w:rFonts w:ascii="Barlow" w:hAnsi="Barlow"/>
        </w:rPr>
        <w:tab/>
      </w:r>
      <w:r w:rsidR="0011165A" w:rsidRPr="00531EAE">
        <w:rPr>
          <w:rFonts w:ascii="Barlow" w:hAnsi="Barlow"/>
        </w:rPr>
        <w:t>S</w:t>
      </w:r>
      <w:r w:rsidRPr="00531EAE">
        <w:rPr>
          <w:rFonts w:ascii="Barlow" w:hAnsi="Barlow"/>
        </w:rPr>
        <w:t>pécialité</w:t>
      </w:r>
      <w:r w:rsidR="0011165A" w:rsidRPr="00531EAE">
        <w:rPr>
          <w:rFonts w:ascii="Barlow" w:hAnsi="Barlow"/>
        </w:rPr>
        <w:t> :</w:t>
      </w:r>
    </w:p>
    <w:p w14:paraId="385F729D" w14:textId="77777777" w:rsidR="0011165A" w:rsidRPr="00531EAE" w:rsidRDefault="0011165A">
      <w:pPr>
        <w:rPr>
          <w:rFonts w:ascii="Barlow" w:hAnsi="Barlow"/>
        </w:rPr>
      </w:pPr>
      <w:r w:rsidRPr="00531EAE">
        <w:rPr>
          <w:rFonts w:ascii="Barlow" w:hAnsi="Barlow"/>
        </w:rPr>
        <w:t>Mode(s) de prise en charge :</w:t>
      </w:r>
      <w:r w:rsidR="00976C48" w:rsidRPr="00531EAE">
        <w:rPr>
          <w:rFonts w:ascii="Barlow" w:hAnsi="Barlow"/>
        </w:rPr>
        <w:tab/>
        <w:t>h</w:t>
      </w:r>
      <w:r w:rsidRPr="00531EAE">
        <w:rPr>
          <w:rFonts w:ascii="Barlow" w:hAnsi="Barlow"/>
        </w:rPr>
        <w:t xml:space="preserve">ospitalisation </w:t>
      </w:r>
      <w:r w:rsidR="00976C48" w:rsidRPr="00531EAE">
        <w:rPr>
          <w:rFonts w:ascii="Barlow" w:hAnsi="Barlow"/>
        </w:rPr>
        <w:sym w:font="Wingdings" w:char="F06F"/>
      </w:r>
      <w:r w:rsidR="00976C48" w:rsidRPr="00531EAE">
        <w:rPr>
          <w:rFonts w:ascii="Barlow" w:hAnsi="Barlow"/>
        </w:rPr>
        <w:tab/>
      </w:r>
      <w:r w:rsidR="00976C48" w:rsidRPr="00531EAE">
        <w:rPr>
          <w:rFonts w:ascii="Barlow" w:hAnsi="Barlow"/>
        </w:rPr>
        <w:tab/>
        <w:t>a</w:t>
      </w:r>
      <w:r w:rsidRPr="00531EAE">
        <w:rPr>
          <w:rFonts w:ascii="Barlow" w:hAnsi="Barlow"/>
        </w:rPr>
        <w:t>mbulatoire</w:t>
      </w:r>
      <w:r w:rsidR="00C07425" w:rsidRPr="00531EAE">
        <w:rPr>
          <w:rFonts w:ascii="Barlow" w:hAnsi="Barlow"/>
        </w:rPr>
        <w:t xml:space="preserve"> </w:t>
      </w:r>
      <w:r w:rsidR="00976C48" w:rsidRPr="00531EAE">
        <w:rPr>
          <w:rFonts w:ascii="Barlow" w:hAnsi="Barlow"/>
        </w:rPr>
        <w:sym w:font="Wingdings" w:char="F06F"/>
      </w:r>
    </w:p>
    <w:p w14:paraId="385F729F" w14:textId="695FCD0E" w:rsidR="00C046E0" w:rsidRPr="00531EAE" w:rsidRDefault="0011165A">
      <w:pPr>
        <w:rPr>
          <w:rFonts w:ascii="Barlow" w:hAnsi="Barlow"/>
        </w:rPr>
      </w:pPr>
      <w:r w:rsidRPr="00531EAE">
        <w:rPr>
          <w:rFonts w:ascii="Barlow" w:hAnsi="Barlow"/>
        </w:rPr>
        <w:t xml:space="preserve">Type(s) de chirurgie : </w:t>
      </w:r>
      <w:r w:rsidR="00976C48" w:rsidRPr="00531EAE">
        <w:rPr>
          <w:rFonts w:ascii="Barlow" w:hAnsi="Barlow"/>
        </w:rPr>
        <w:tab/>
      </w:r>
      <w:r w:rsidR="00976C48" w:rsidRPr="00531EAE">
        <w:rPr>
          <w:rFonts w:ascii="Barlow" w:hAnsi="Barlow"/>
        </w:rPr>
        <w:tab/>
      </w:r>
      <w:r w:rsidRPr="00531EAE">
        <w:rPr>
          <w:rFonts w:ascii="Barlow" w:hAnsi="Barlow"/>
        </w:rPr>
        <w:t>programmée</w:t>
      </w:r>
      <w:r w:rsidR="00976C48" w:rsidRPr="00531EAE">
        <w:rPr>
          <w:rFonts w:ascii="Barlow" w:hAnsi="Barlow"/>
        </w:rPr>
        <w:t xml:space="preserve"> </w:t>
      </w:r>
      <w:r w:rsidR="00976C48" w:rsidRPr="00531EAE">
        <w:rPr>
          <w:rFonts w:ascii="Barlow" w:hAnsi="Barlow"/>
        </w:rPr>
        <w:sym w:font="Wingdings" w:char="F06F"/>
      </w:r>
      <w:r w:rsidRPr="00531EAE">
        <w:rPr>
          <w:rFonts w:ascii="Barlow" w:hAnsi="Barlow"/>
        </w:rPr>
        <w:t xml:space="preserve"> </w:t>
      </w:r>
      <w:r w:rsidR="00976C48" w:rsidRPr="00531EAE">
        <w:rPr>
          <w:rFonts w:ascii="Barlow" w:hAnsi="Barlow"/>
        </w:rPr>
        <w:tab/>
      </w:r>
      <w:r w:rsidR="00976C48" w:rsidRPr="00531EAE">
        <w:rPr>
          <w:rFonts w:ascii="Barlow" w:hAnsi="Barlow"/>
        </w:rPr>
        <w:tab/>
      </w:r>
      <w:r w:rsidRPr="00531EAE">
        <w:rPr>
          <w:rFonts w:ascii="Barlow" w:hAnsi="Barlow"/>
        </w:rPr>
        <w:t>urgente</w:t>
      </w:r>
      <w:r w:rsidR="00C07425" w:rsidRPr="00531EAE">
        <w:rPr>
          <w:rFonts w:ascii="Barlow" w:hAnsi="Barlow"/>
        </w:rPr>
        <w:t xml:space="preserve"> </w:t>
      </w:r>
      <w:r w:rsidR="00976C48" w:rsidRPr="00531EAE">
        <w:rPr>
          <w:rFonts w:ascii="Barlow" w:hAnsi="Barlow"/>
        </w:rPr>
        <w:sym w:font="Wingdings" w:char="F06F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740"/>
      </w:tblGrid>
      <w:tr w:rsidR="00976C48" w:rsidRPr="00531EAE" w14:paraId="385F72A4" w14:textId="77777777" w:rsidTr="00300C8D">
        <w:tc>
          <w:tcPr>
            <w:tcW w:w="7054" w:type="dxa"/>
          </w:tcPr>
          <w:p w14:paraId="385F72A0" w14:textId="77777777" w:rsidR="00976C48" w:rsidRPr="00531EAE" w:rsidRDefault="00976C48" w:rsidP="00F94533">
            <w:pPr>
              <w:jc w:val="center"/>
              <w:rPr>
                <w:rFonts w:ascii="Barlow" w:hAnsi="Barlow"/>
              </w:rPr>
            </w:pPr>
          </w:p>
        </w:tc>
        <w:tc>
          <w:tcPr>
            <w:tcW w:w="709" w:type="dxa"/>
          </w:tcPr>
          <w:p w14:paraId="385F72A1" w14:textId="77777777" w:rsidR="00976C48" w:rsidRPr="00531EAE" w:rsidRDefault="00976C48" w:rsidP="00F94533">
            <w:pPr>
              <w:jc w:val="center"/>
              <w:rPr>
                <w:rFonts w:ascii="Barlow" w:hAnsi="Barlow"/>
              </w:rPr>
            </w:pPr>
            <w:r w:rsidRPr="00531EAE">
              <w:rPr>
                <w:rFonts w:ascii="Barlow" w:hAnsi="Barlow"/>
              </w:rPr>
              <w:t>OUI</w:t>
            </w:r>
          </w:p>
        </w:tc>
        <w:tc>
          <w:tcPr>
            <w:tcW w:w="709" w:type="dxa"/>
          </w:tcPr>
          <w:p w14:paraId="385F72A2" w14:textId="77777777" w:rsidR="00976C48" w:rsidRPr="00531EAE" w:rsidRDefault="00976C48" w:rsidP="00F94533">
            <w:pPr>
              <w:jc w:val="center"/>
              <w:rPr>
                <w:rFonts w:ascii="Barlow" w:hAnsi="Barlow"/>
              </w:rPr>
            </w:pPr>
            <w:r w:rsidRPr="00531EAE">
              <w:rPr>
                <w:rFonts w:ascii="Barlow" w:hAnsi="Barlow"/>
              </w:rPr>
              <w:t>NON</w:t>
            </w:r>
          </w:p>
        </w:tc>
        <w:tc>
          <w:tcPr>
            <w:tcW w:w="740" w:type="dxa"/>
          </w:tcPr>
          <w:p w14:paraId="385F72A3" w14:textId="77777777" w:rsidR="00976C48" w:rsidRPr="00531EAE" w:rsidRDefault="00976C48" w:rsidP="00F94533">
            <w:pPr>
              <w:jc w:val="center"/>
              <w:rPr>
                <w:rFonts w:ascii="Barlow" w:hAnsi="Barlow"/>
              </w:rPr>
            </w:pPr>
            <w:r w:rsidRPr="00531EAE">
              <w:rPr>
                <w:rFonts w:ascii="Barlow" w:hAnsi="Barlow"/>
              </w:rPr>
              <w:t>NA</w:t>
            </w:r>
            <w:r w:rsidR="00C07425" w:rsidRPr="00531EAE">
              <w:rPr>
                <w:rFonts w:ascii="Barlow" w:hAnsi="Barlow"/>
              </w:rPr>
              <w:t>*</w:t>
            </w:r>
          </w:p>
        </w:tc>
      </w:tr>
      <w:tr w:rsidR="00CE057B" w:rsidRPr="00531EAE" w14:paraId="385F72AD" w14:textId="77777777" w:rsidTr="009E2ECA">
        <w:tc>
          <w:tcPr>
            <w:tcW w:w="7054" w:type="dxa"/>
          </w:tcPr>
          <w:p w14:paraId="385F72A5" w14:textId="77777777" w:rsidR="00CE057B" w:rsidRPr="00271EAE" w:rsidRDefault="00CE057B" w:rsidP="00615578">
            <w:pPr>
              <w:pStyle w:val="Paragraphedeliste"/>
              <w:numPr>
                <w:ilvl w:val="0"/>
                <w:numId w:val="4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Les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>responsabilités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sont définies dans le service concernant la prescription de l’antibioprophylaxie</w:t>
            </w:r>
          </w:p>
          <w:p w14:paraId="385F72A6" w14:textId="77777777" w:rsidR="00CE057B" w:rsidRPr="00531EAE" w:rsidRDefault="00CE057B" w:rsidP="00347C34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s’il existe un document écrit et validé définissant les responsabilités en matière de prescription de l’antibioprophylaxie.</w:t>
            </w:r>
          </w:p>
          <w:p w14:paraId="385F72A7" w14:textId="77777777" w:rsidR="00CE057B" w:rsidRPr="00531EAE" w:rsidRDefault="00CE057B" w:rsidP="00347C34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s’il n’existe pas de document écrit et validé définissant les responsabilités en matière de prescription de l’antibioprophylaxie.</w:t>
            </w:r>
          </w:p>
        </w:tc>
        <w:tc>
          <w:tcPr>
            <w:tcW w:w="709" w:type="dxa"/>
          </w:tcPr>
          <w:p w14:paraId="385F72A8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A9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AA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AB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AC" w14:textId="77777777" w:rsidR="00CE057B" w:rsidRPr="00127F98" w:rsidRDefault="00CE057B" w:rsidP="009E2ECA">
            <w:pPr>
              <w:rPr>
                <w:rFonts w:ascii="Barlow" w:hAnsi="Barlow"/>
                <w:color w:val="0B4159"/>
              </w:rPr>
            </w:pPr>
          </w:p>
        </w:tc>
      </w:tr>
      <w:tr w:rsidR="00CE057B" w:rsidRPr="00531EAE" w14:paraId="385F72B6" w14:textId="77777777" w:rsidTr="009E2ECA">
        <w:tc>
          <w:tcPr>
            <w:tcW w:w="7054" w:type="dxa"/>
          </w:tcPr>
          <w:p w14:paraId="385F72AE" w14:textId="77777777" w:rsidR="00CE057B" w:rsidRPr="00271EAE" w:rsidRDefault="00CE057B" w:rsidP="004B7A2C">
            <w:pPr>
              <w:pStyle w:val="Paragraphedeliste"/>
              <w:numPr>
                <w:ilvl w:val="0"/>
                <w:numId w:val="4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Les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 xml:space="preserve">responsabilités 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>sont définies dans le service concernant l’administration et la surveillance de l’antibioprophylaxie</w:t>
            </w:r>
          </w:p>
          <w:p w14:paraId="385F72AF" w14:textId="77777777" w:rsidR="00CE057B" w:rsidRPr="00531EAE" w:rsidRDefault="00CE057B" w:rsidP="00B4317E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s’il existe un document écrit et validé définissant les responsabilités en matière d’administration et de surveillance de l’antibioprophylaxie.</w:t>
            </w:r>
          </w:p>
          <w:p w14:paraId="385F72B0" w14:textId="77777777" w:rsidR="00CE057B" w:rsidRPr="00531EAE" w:rsidRDefault="00CE057B" w:rsidP="00B4317E">
            <w:pPr>
              <w:jc w:val="both"/>
              <w:rPr>
                <w:rFonts w:ascii="Barlow" w:hAnsi="Barlow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s’il n’existe pas de document écrit et validé les responsabilités en matière d’administration et de surveillance de l’antibioprophylaxie.</w:t>
            </w:r>
          </w:p>
        </w:tc>
        <w:tc>
          <w:tcPr>
            <w:tcW w:w="709" w:type="dxa"/>
          </w:tcPr>
          <w:p w14:paraId="385F72B1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B2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B3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B4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B5" w14:textId="77777777" w:rsidR="00CE057B" w:rsidRPr="00127F98" w:rsidRDefault="00CE057B" w:rsidP="009E2ECA">
            <w:pPr>
              <w:rPr>
                <w:rFonts w:ascii="Barlow" w:hAnsi="Barlow"/>
                <w:color w:val="0B4159"/>
              </w:rPr>
            </w:pPr>
          </w:p>
        </w:tc>
      </w:tr>
      <w:tr w:rsidR="00CE057B" w:rsidRPr="00531EAE" w14:paraId="385F72BF" w14:textId="77777777" w:rsidTr="009E2ECA">
        <w:tc>
          <w:tcPr>
            <w:tcW w:w="7054" w:type="dxa"/>
          </w:tcPr>
          <w:p w14:paraId="385F72B7" w14:textId="77777777" w:rsidR="00CE057B" w:rsidRPr="00271EAE" w:rsidRDefault="00CE057B" w:rsidP="004B7A2C">
            <w:pPr>
              <w:pStyle w:val="Paragraphedeliste"/>
              <w:numPr>
                <w:ilvl w:val="0"/>
                <w:numId w:val="4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Les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>outils informatiques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facilitent la prescription, le contrôle et la traçabilité de l’antibioprophylaxie.</w:t>
            </w:r>
          </w:p>
          <w:p w14:paraId="385F72B8" w14:textId="77777777" w:rsidR="00CE057B" w:rsidRPr="00531EAE" w:rsidRDefault="00CE057B" w:rsidP="004B7A2C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si le logiciel ou les logiciels informatiques sont parfaitement adaptés à la prescription, au contrôle et à la traçabilité de l’antibioprophylaxie</w:t>
            </w:r>
          </w:p>
          <w:p w14:paraId="385F72B9" w14:textId="77777777" w:rsidR="00CE057B" w:rsidRPr="00531EAE" w:rsidRDefault="00CE057B" w:rsidP="004B7A2C">
            <w:pPr>
              <w:jc w:val="both"/>
              <w:rPr>
                <w:rFonts w:ascii="Barlow" w:hAnsi="Barlow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si les outils informatiques sont inadaptés : absence d’interface entre les différents logiciels, retranscriptions nécessaires,….</w:t>
            </w:r>
          </w:p>
        </w:tc>
        <w:tc>
          <w:tcPr>
            <w:tcW w:w="709" w:type="dxa"/>
          </w:tcPr>
          <w:p w14:paraId="385F72BA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BB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BC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BD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BE" w14:textId="77777777" w:rsidR="00CE057B" w:rsidRPr="00127F98" w:rsidRDefault="00CE057B" w:rsidP="009E2ECA">
            <w:pPr>
              <w:rPr>
                <w:rFonts w:ascii="Barlow" w:hAnsi="Barlow"/>
                <w:color w:val="0B4159"/>
              </w:rPr>
            </w:pPr>
          </w:p>
        </w:tc>
      </w:tr>
      <w:tr w:rsidR="00CE057B" w:rsidRPr="00531EAE" w14:paraId="385F72C8" w14:textId="77777777" w:rsidTr="009E2ECA">
        <w:tc>
          <w:tcPr>
            <w:tcW w:w="7054" w:type="dxa"/>
          </w:tcPr>
          <w:p w14:paraId="385F72C0" w14:textId="77777777" w:rsidR="00CE057B" w:rsidRPr="00271EAE" w:rsidRDefault="00CE057B" w:rsidP="00F17351">
            <w:pPr>
              <w:pStyle w:val="Paragraphedeliste"/>
              <w:numPr>
                <w:ilvl w:val="0"/>
                <w:numId w:val="4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Les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>protocoles d’antibioprophylaxie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sont écrits et co-signés par les anesthésistes réanimateurs et les opérateurs de la spécialité </w:t>
            </w:r>
          </w:p>
          <w:p w14:paraId="385F72C1" w14:textId="77777777" w:rsidR="00CE057B" w:rsidRPr="00531EAE" w:rsidRDefault="00CE057B" w:rsidP="00CC0133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 xml:space="preserve">Répondre OUI si les protocoles d’antibioprophylaxie sont rédigés et co-signés par les anesthésistes-réanimateurs, les opérateurs de la spécialité (chirurgiens, les gastroentérologues, les </w:t>
            </w:r>
            <w:proofErr w:type="gramStart"/>
            <w:r w:rsidRPr="00531EAE">
              <w:rPr>
                <w:rFonts w:ascii="Barlow" w:hAnsi="Barlow"/>
                <w:i/>
                <w:sz w:val="20"/>
                <w:szCs w:val="20"/>
              </w:rPr>
              <w:t>radiologues,…</w:t>
            </w:r>
            <w:proofErr w:type="gramEnd"/>
            <w:r w:rsidRPr="00531EAE">
              <w:rPr>
                <w:rFonts w:ascii="Barlow" w:hAnsi="Barlow"/>
                <w:i/>
                <w:sz w:val="20"/>
                <w:szCs w:val="20"/>
              </w:rPr>
              <w:t>).</w:t>
            </w:r>
          </w:p>
          <w:p w14:paraId="385F72C2" w14:textId="77777777" w:rsidR="00CE057B" w:rsidRPr="00531EAE" w:rsidRDefault="00CE057B" w:rsidP="00CC0133">
            <w:pPr>
              <w:jc w:val="both"/>
              <w:rPr>
                <w:rFonts w:ascii="Barlow" w:hAnsi="Barlow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si les protocoles ne sont pas rédigés et co-signés collectivement.</w:t>
            </w:r>
          </w:p>
        </w:tc>
        <w:tc>
          <w:tcPr>
            <w:tcW w:w="709" w:type="dxa"/>
          </w:tcPr>
          <w:p w14:paraId="385F72C3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C4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C5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C6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C7" w14:textId="77777777" w:rsidR="00CE057B" w:rsidRPr="00127F98" w:rsidRDefault="00CE057B" w:rsidP="009E2ECA">
            <w:pPr>
              <w:rPr>
                <w:rFonts w:ascii="Barlow" w:hAnsi="Barlow"/>
                <w:color w:val="0B4159"/>
              </w:rPr>
            </w:pPr>
          </w:p>
        </w:tc>
      </w:tr>
      <w:tr w:rsidR="00CE057B" w:rsidRPr="00531EAE" w14:paraId="385F72D6" w14:textId="77777777" w:rsidTr="009E2ECA">
        <w:tc>
          <w:tcPr>
            <w:tcW w:w="7054" w:type="dxa"/>
          </w:tcPr>
          <w:p w14:paraId="385F72C9" w14:textId="77777777" w:rsidR="00CE057B" w:rsidRPr="00271EAE" w:rsidRDefault="00CE057B" w:rsidP="00CC0133">
            <w:pPr>
              <w:pStyle w:val="Paragraphedeliste"/>
              <w:numPr>
                <w:ilvl w:val="0"/>
                <w:numId w:val="4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Les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>protocoles d’antibioprophylaxie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de la spécialité sont validés par l’instance en charge de la lutte contre les infections associées aux soins et par la commission des agents anti-infectieux</w:t>
            </w:r>
          </w:p>
          <w:p w14:paraId="385F72CA" w14:textId="77777777" w:rsidR="00CE057B" w:rsidRPr="00531EAE" w:rsidRDefault="00CE057B" w:rsidP="00CC0133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si les protocoles d’antibioprophylaxie sont validés par le CLIN ou l’instance équivalente et par la commission définie ci-dessus.</w:t>
            </w:r>
          </w:p>
          <w:p w14:paraId="385F72CB" w14:textId="77777777" w:rsidR="00CE057B" w:rsidRPr="00531EAE" w:rsidRDefault="00CE057B" w:rsidP="00CC0133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si les protocoles ne sont pas validés par ces commissions.</w:t>
            </w:r>
          </w:p>
          <w:p w14:paraId="385F72CC" w14:textId="77777777" w:rsidR="00CE057B" w:rsidRPr="00531EAE" w:rsidRDefault="00CE057B" w:rsidP="00CC0133">
            <w:pPr>
              <w:jc w:val="both"/>
              <w:rPr>
                <w:rFonts w:ascii="Barlow" w:hAnsi="Barlow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NA en l’absence de protocole formalisé.</w:t>
            </w:r>
          </w:p>
        </w:tc>
        <w:tc>
          <w:tcPr>
            <w:tcW w:w="709" w:type="dxa"/>
          </w:tcPr>
          <w:p w14:paraId="385F72CD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CE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CF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D0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D1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D2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D3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D4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D5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</w:tr>
      <w:tr w:rsidR="00CE057B" w:rsidRPr="00531EAE" w14:paraId="385F72DE" w14:textId="77777777" w:rsidTr="009E2ECA">
        <w:tc>
          <w:tcPr>
            <w:tcW w:w="7054" w:type="dxa"/>
          </w:tcPr>
          <w:p w14:paraId="385F72D7" w14:textId="77777777" w:rsidR="00CE057B" w:rsidRPr="00271EAE" w:rsidRDefault="00CE057B" w:rsidP="00CC0133">
            <w:pPr>
              <w:pStyle w:val="Paragraphedeliste"/>
              <w:numPr>
                <w:ilvl w:val="0"/>
                <w:numId w:val="4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Les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>protocoles d’antibioprophylaxie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de la spécialité sont actualisés </w:t>
            </w:r>
          </w:p>
          <w:p w14:paraId="385F72D8" w14:textId="185092DE" w:rsidR="00CE057B" w:rsidRPr="00531EAE" w:rsidRDefault="00CE057B" w:rsidP="00CC0133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si la date de rédaction, de réactualisation ou de reconduction des protocoles est postérieure au référentiel de la SFAR (novembre 20</w:t>
            </w:r>
            <w:r w:rsidR="00E36992" w:rsidRPr="00531EAE">
              <w:rPr>
                <w:rFonts w:ascii="Barlow" w:hAnsi="Barlow"/>
                <w:i/>
                <w:sz w:val="20"/>
                <w:szCs w:val="20"/>
              </w:rPr>
              <w:t>24</w:t>
            </w:r>
            <w:r w:rsidRPr="00531EAE">
              <w:rPr>
                <w:rFonts w:ascii="Barlow" w:hAnsi="Barlow"/>
                <w:i/>
                <w:sz w:val="20"/>
                <w:szCs w:val="20"/>
              </w:rPr>
              <w:t xml:space="preserve">) </w:t>
            </w:r>
          </w:p>
          <w:p w14:paraId="385F72D9" w14:textId="26E8F03D" w:rsidR="00CE057B" w:rsidRPr="00531EAE" w:rsidRDefault="00CE057B" w:rsidP="00CC0133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si les protocoles sont antérieurs à novembre 20</w:t>
            </w:r>
            <w:r w:rsidR="00E36992" w:rsidRPr="00531EAE">
              <w:rPr>
                <w:rFonts w:ascii="Barlow" w:hAnsi="Barlow"/>
                <w:i/>
                <w:sz w:val="20"/>
                <w:szCs w:val="20"/>
              </w:rPr>
              <w:t>24</w:t>
            </w:r>
            <w:r w:rsidRPr="00531EAE">
              <w:rPr>
                <w:rFonts w:ascii="Barlow" w:hAnsi="Barlow"/>
                <w:i/>
                <w:sz w:val="20"/>
                <w:szCs w:val="20"/>
              </w:rPr>
              <w:t>.</w:t>
            </w:r>
          </w:p>
          <w:p w14:paraId="385F72DA" w14:textId="77777777" w:rsidR="00CE057B" w:rsidRPr="00531EAE" w:rsidRDefault="00CE057B" w:rsidP="00CC0133">
            <w:pPr>
              <w:jc w:val="both"/>
              <w:rPr>
                <w:rFonts w:ascii="Barlow" w:hAnsi="Barlow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NA en l’absence de protocole formalisé.</w:t>
            </w:r>
          </w:p>
        </w:tc>
        <w:tc>
          <w:tcPr>
            <w:tcW w:w="709" w:type="dxa"/>
          </w:tcPr>
          <w:p w14:paraId="385F72DB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DC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DD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</w:tr>
      <w:tr w:rsidR="00CE057B" w:rsidRPr="00531EAE" w14:paraId="385F72E9" w14:textId="77777777" w:rsidTr="009E2ECA">
        <w:tc>
          <w:tcPr>
            <w:tcW w:w="7054" w:type="dxa"/>
          </w:tcPr>
          <w:p w14:paraId="385F72DF" w14:textId="77777777" w:rsidR="00CE057B" w:rsidRPr="00271EAE" w:rsidRDefault="00CE057B" w:rsidP="00CC0133">
            <w:pPr>
              <w:pStyle w:val="Paragraphedeliste"/>
              <w:numPr>
                <w:ilvl w:val="0"/>
                <w:numId w:val="4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Les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>protocoles d’antibioprophylaxie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de la spécialité sont conformes aux recommandations de la SFAR</w:t>
            </w:r>
          </w:p>
          <w:p w14:paraId="385F72E0" w14:textId="77777777" w:rsidR="00CE057B" w:rsidRPr="00531EAE" w:rsidRDefault="00CE057B" w:rsidP="00CC0133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si les protocoles tiennent compte des recommandations de la SFAR.</w:t>
            </w:r>
          </w:p>
          <w:p w14:paraId="385F72E1" w14:textId="77777777" w:rsidR="00CE057B" w:rsidRPr="00531EAE" w:rsidRDefault="00CE057B" w:rsidP="00CC0133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si les protocoles ne tiennent pas compte des recommandations de la SFAR (autres recommandations de sociétés savantes, consensus professionnel local)</w:t>
            </w:r>
          </w:p>
          <w:p w14:paraId="385F72E2" w14:textId="77777777" w:rsidR="00CE057B" w:rsidRPr="00531EAE" w:rsidRDefault="00CE057B" w:rsidP="00CC0133">
            <w:pPr>
              <w:jc w:val="both"/>
              <w:rPr>
                <w:rFonts w:ascii="Barlow" w:hAnsi="Barlow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NA en l’absence de protocole formalisé.</w:t>
            </w:r>
          </w:p>
        </w:tc>
        <w:tc>
          <w:tcPr>
            <w:tcW w:w="709" w:type="dxa"/>
          </w:tcPr>
          <w:p w14:paraId="385F72E3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E4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E5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E6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E7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E8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</w:tr>
      <w:tr w:rsidR="00CE057B" w:rsidRPr="00531EAE" w14:paraId="385F72F1" w14:textId="77777777" w:rsidTr="009E2ECA">
        <w:tc>
          <w:tcPr>
            <w:tcW w:w="7054" w:type="dxa"/>
          </w:tcPr>
          <w:p w14:paraId="385F72EA" w14:textId="525DD36F" w:rsidR="00CE057B" w:rsidRPr="00271EAE" w:rsidRDefault="00CE057B" w:rsidP="00FF03EB">
            <w:pPr>
              <w:pStyle w:val="Paragraphedeliste"/>
              <w:numPr>
                <w:ilvl w:val="0"/>
                <w:numId w:val="4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>Si NON</w:t>
            </w:r>
            <w:r w:rsidR="00FF03EB"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à la question précédente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, </w:t>
            </w:r>
            <w:r w:rsidR="00FF03EB" w:rsidRPr="00271EAE">
              <w:rPr>
                <w:rFonts w:ascii="Barlow" w:hAnsi="Barlow"/>
                <w:color w:val="0B4159"/>
                <w:sz w:val="24"/>
                <w:szCs w:val="24"/>
              </w:rPr>
              <w:t>les protocoles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ont fait l’objet d’un consensus professionnel local</w:t>
            </w:r>
          </w:p>
          <w:p w14:paraId="385F72EB" w14:textId="77777777" w:rsidR="00CE057B" w:rsidRPr="00531EAE" w:rsidRDefault="00CE057B" w:rsidP="00FF03EB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si les protocoles ont fait l’objet d’un consensus interne.</w:t>
            </w:r>
          </w:p>
          <w:p w14:paraId="385F72ED" w14:textId="4B8F6DB3" w:rsidR="00CE057B" w:rsidRPr="00531EAE" w:rsidRDefault="00CE057B" w:rsidP="00FF03EB">
            <w:pPr>
              <w:jc w:val="both"/>
              <w:rPr>
                <w:rFonts w:ascii="Barlow" w:hAnsi="Barlow"/>
                <w:i/>
                <w:sz w:val="20"/>
                <w:szCs w:val="20"/>
                <w:highlight w:val="green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si les protocoles font références à d’autres sociétés savantes</w:t>
            </w:r>
          </w:p>
        </w:tc>
        <w:tc>
          <w:tcPr>
            <w:tcW w:w="709" w:type="dxa"/>
          </w:tcPr>
          <w:p w14:paraId="385F72EE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EF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F0" w14:textId="5870396D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</w:tc>
      </w:tr>
      <w:tr w:rsidR="00CE057B" w:rsidRPr="00531EAE" w14:paraId="385F72FC" w14:textId="77777777" w:rsidTr="009E2ECA">
        <w:tc>
          <w:tcPr>
            <w:tcW w:w="7054" w:type="dxa"/>
          </w:tcPr>
          <w:p w14:paraId="385F72F2" w14:textId="77777777" w:rsidR="00CE057B" w:rsidRPr="00271EAE" w:rsidRDefault="00CE057B" w:rsidP="00230969">
            <w:pPr>
              <w:pStyle w:val="Paragraphedeliste"/>
              <w:numPr>
                <w:ilvl w:val="0"/>
                <w:numId w:val="4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Les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>protocoles d’antibioprophylaxie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de la spécialité sont accessibles sur les lieux de prescription et /ou de l’administration</w:t>
            </w:r>
          </w:p>
          <w:p w14:paraId="385F72F3" w14:textId="77777777" w:rsidR="00CE057B" w:rsidRPr="00531EAE" w:rsidRDefault="00CE057B" w:rsidP="00230969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si les protocoles sont disponibles en format papier et/ou informatique</w:t>
            </w:r>
          </w:p>
          <w:p w14:paraId="385F72F4" w14:textId="77777777" w:rsidR="00CE057B" w:rsidRPr="00531EAE" w:rsidRDefault="00CE057B" w:rsidP="00230969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si les protocoles ne sont pas directement accessibles</w:t>
            </w:r>
          </w:p>
          <w:p w14:paraId="385F72F5" w14:textId="77777777" w:rsidR="00CE057B" w:rsidRPr="00531EAE" w:rsidRDefault="00CE057B" w:rsidP="00230969">
            <w:pPr>
              <w:jc w:val="both"/>
              <w:rPr>
                <w:rFonts w:ascii="Barlow" w:hAnsi="Barlow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NA en l’absence de protocole formalisé.</w:t>
            </w:r>
          </w:p>
        </w:tc>
        <w:tc>
          <w:tcPr>
            <w:tcW w:w="709" w:type="dxa"/>
          </w:tcPr>
          <w:p w14:paraId="385F72F6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F7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2F8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F9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2FA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2FB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</w:tr>
      <w:tr w:rsidR="00CE057B" w:rsidRPr="00531EAE" w14:paraId="385F7305" w14:textId="77777777" w:rsidTr="009E2ECA">
        <w:tc>
          <w:tcPr>
            <w:tcW w:w="7054" w:type="dxa"/>
          </w:tcPr>
          <w:p w14:paraId="385F72FD" w14:textId="77777777" w:rsidR="00CE057B" w:rsidRPr="00271EAE" w:rsidRDefault="00CE057B" w:rsidP="00230969">
            <w:pPr>
              <w:pStyle w:val="Paragraphedeliste"/>
              <w:numPr>
                <w:ilvl w:val="0"/>
                <w:numId w:val="4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Une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 xml:space="preserve">organisation 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>est mise en œuvre pour respecter la mise en œuvre des protocoles et délais d’injection des antibiotiques</w:t>
            </w:r>
            <w:r w:rsidR="00C046E0"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pour cette spécialité</w:t>
            </w:r>
          </w:p>
          <w:p w14:paraId="385F72FE" w14:textId="77777777" w:rsidR="00CE057B" w:rsidRPr="00531EAE" w:rsidRDefault="00CE057B" w:rsidP="009E2ECA">
            <w:pPr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OUI si les protocoles sont disponibles en format papier et/ou informatique</w:t>
            </w:r>
          </w:p>
          <w:p w14:paraId="385F72FF" w14:textId="77777777" w:rsidR="00CE057B" w:rsidRPr="00531EAE" w:rsidRDefault="00CE057B" w:rsidP="009E2ECA">
            <w:pPr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si les protocoles ne sont pas directement accessibles</w:t>
            </w:r>
          </w:p>
        </w:tc>
        <w:tc>
          <w:tcPr>
            <w:tcW w:w="709" w:type="dxa"/>
          </w:tcPr>
          <w:p w14:paraId="385F7300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301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85F7302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</w:p>
          <w:p w14:paraId="385F7303" w14:textId="77777777" w:rsidR="00CE057B" w:rsidRPr="00127F98" w:rsidRDefault="00CE057B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85F7304" w14:textId="77777777" w:rsidR="00CE057B" w:rsidRPr="00127F98" w:rsidRDefault="00CE057B" w:rsidP="009E2ECA">
            <w:pPr>
              <w:rPr>
                <w:rFonts w:ascii="Barlow" w:hAnsi="Barlow"/>
                <w:color w:val="0B4159"/>
              </w:rPr>
            </w:pPr>
          </w:p>
        </w:tc>
      </w:tr>
      <w:tr w:rsidR="00230969" w:rsidRPr="00531EAE" w14:paraId="5C810E82" w14:textId="77777777" w:rsidTr="009E2ECA">
        <w:tc>
          <w:tcPr>
            <w:tcW w:w="7054" w:type="dxa"/>
          </w:tcPr>
          <w:p w14:paraId="35B4E130" w14:textId="0ACD4C40" w:rsidR="00277906" w:rsidRPr="00271EAE" w:rsidRDefault="00277906" w:rsidP="00271EAE">
            <w:pPr>
              <w:pStyle w:val="Paragraphedeliste"/>
              <w:numPr>
                <w:ilvl w:val="0"/>
                <w:numId w:val="4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Des </w:t>
            </w:r>
            <w:r w:rsidRPr="00271EAE">
              <w:rPr>
                <w:rFonts w:ascii="Barlow" w:hAnsi="Barlow"/>
                <w:b/>
                <w:color w:val="0B4159"/>
                <w:sz w:val="24"/>
                <w:szCs w:val="24"/>
              </w:rPr>
              <w:t>évaluations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ont déjà été conduites sur les pratiques d’antibioprophylaxie</w:t>
            </w:r>
          </w:p>
          <w:p w14:paraId="772FC7F9" w14:textId="77777777" w:rsidR="00277906" w:rsidRPr="00271EAE" w:rsidRDefault="00277906" w:rsidP="00277906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271EAE">
              <w:rPr>
                <w:rFonts w:ascii="Barlow" w:hAnsi="Barlow"/>
                <w:i/>
                <w:sz w:val="20"/>
                <w:szCs w:val="20"/>
              </w:rPr>
              <w:t>Répondre OUI si une évaluation des pratiques d’antibioprophylaxie a été réalisée au cours des 3 dernières années</w:t>
            </w:r>
          </w:p>
          <w:p w14:paraId="68F1342C" w14:textId="1D92A138" w:rsidR="00230969" w:rsidRPr="00271EAE" w:rsidRDefault="00277906" w:rsidP="009E2ECA">
            <w:pPr>
              <w:rPr>
                <w:rFonts w:ascii="Barlow" w:hAnsi="Barlow"/>
                <w:color w:val="1F497D" w:themeColor="text2"/>
                <w:sz w:val="24"/>
                <w:szCs w:val="24"/>
              </w:rPr>
            </w:pPr>
            <w:r w:rsidRPr="00271EAE">
              <w:rPr>
                <w:rFonts w:ascii="Barlow" w:hAnsi="Barlow"/>
                <w:i/>
                <w:sz w:val="20"/>
                <w:szCs w:val="20"/>
              </w:rPr>
              <w:t>Répondre NON en l’absence d’évaluation ou en cas d’évaluation il y a plus de 3 ans</w:t>
            </w:r>
          </w:p>
        </w:tc>
        <w:tc>
          <w:tcPr>
            <w:tcW w:w="709" w:type="dxa"/>
          </w:tcPr>
          <w:p w14:paraId="086B5AEC" w14:textId="1A3116D4" w:rsidR="00230969" w:rsidRPr="00127F98" w:rsidRDefault="009B097D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198BC888" w14:textId="6845767D" w:rsidR="00230969" w:rsidRPr="00127F98" w:rsidRDefault="009B097D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2298D71C" w14:textId="77777777" w:rsidR="00230969" w:rsidRPr="00127F98" w:rsidRDefault="00230969" w:rsidP="009E2ECA">
            <w:pPr>
              <w:rPr>
                <w:rFonts w:ascii="Barlow" w:hAnsi="Barlow"/>
                <w:color w:val="0B4159"/>
              </w:rPr>
            </w:pPr>
          </w:p>
        </w:tc>
      </w:tr>
      <w:tr w:rsidR="00CB6BB9" w:rsidRPr="00531EAE" w14:paraId="6735CD1C" w14:textId="77777777" w:rsidTr="009E2ECA">
        <w:tc>
          <w:tcPr>
            <w:tcW w:w="7054" w:type="dxa"/>
          </w:tcPr>
          <w:p w14:paraId="41222BF2" w14:textId="2B23A328" w:rsidR="006F5306" w:rsidRPr="00271EAE" w:rsidRDefault="006F5306" w:rsidP="00271EAE">
            <w:pPr>
              <w:pStyle w:val="Paragraphedeliste"/>
              <w:numPr>
                <w:ilvl w:val="0"/>
                <w:numId w:val="4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Une </w:t>
            </w:r>
            <w:r w:rsidRPr="00271EAE">
              <w:rPr>
                <w:rFonts w:ascii="Barlow" w:hAnsi="Barlow"/>
                <w:b/>
                <w:bCs/>
                <w:color w:val="0B4159"/>
                <w:sz w:val="24"/>
                <w:szCs w:val="24"/>
              </w:rPr>
              <w:t>analyse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des écarts est réalisée</w:t>
            </w:r>
          </w:p>
          <w:p w14:paraId="56FCB8B5" w14:textId="77777777" w:rsidR="006F5306" w:rsidRPr="00271EAE" w:rsidRDefault="006F5306" w:rsidP="006F5306">
            <w:pPr>
              <w:jc w:val="both"/>
              <w:rPr>
                <w:rFonts w:ascii="Barlow" w:hAnsi="Barlow"/>
                <w:i/>
                <w:sz w:val="20"/>
                <w:szCs w:val="20"/>
              </w:rPr>
            </w:pPr>
            <w:r w:rsidRPr="00271EAE">
              <w:rPr>
                <w:rFonts w:ascii="Barlow" w:hAnsi="Barlow"/>
                <w:i/>
                <w:sz w:val="20"/>
                <w:szCs w:val="20"/>
              </w:rPr>
              <w:t>Répondre oui si l’analyse a permis un ajustement des pratiques</w:t>
            </w:r>
          </w:p>
          <w:p w14:paraId="314B3F1B" w14:textId="77547129" w:rsidR="00CB6BB9" w:rsidRPr="00271EAE" w:rsidRDefault="006F5306" w:rsidP="009E2ECA">
            <w:pPr>
              <w:rPr>
                <w:rFonts w:ascii="Barlow" w:hAnsi="Barlow"/>
                <w:color w:val="1F497D" w:themeColor="text2"/>
                <w:sz w:val="24"/>
                <w:szCs w:val="24"/>
              </w:rPr>
            </w:pPr>
            <w:r w:rsidRPr="00271EAE">
              <w:rPr>
                <w:rFonts w:ascii="Barlow" w:hAnsi="Barlow"/>
                <w:i/>
                <w:sz w:val="20"/>
                <w:szCs w:val="20"/>
              </w:rPr>
              <w:t>Répondre non en absence d’analyse des écarts ou sans ajustement</w:t>
            </w:r>
          </w:p>
        </w:tc>
        <w:tc>
          <w:tcPr>
            <w:tcW w:w="709" w:type="dxa"/>
          </w:tcPr>
          <w:p w14:paraId="2EC0C50D" w14:textId="3FA9A099" w:rsidR="00CB6BB9" w:rsidRPr="00127F98" w:rsidRDefault="00CA38DA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3454602F" w14:textId="6982DDC1" w:rsidR="00CB6BB9" w:rsidRPr="00127F98" w:rsidRDefault="00CA38DA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23FACA76" w14:textId="77777777" w:rsidR="00CB6BB9" w:rsidRPr="00127F98" w:rsidRDefault="00CB6BB9" w:rsidP="009E2ECA">
            <w:pPr>
              <w:rPr>
                <w:rFonts w:ascii="Barlow" w:hAnsi="Barlow"/>
                <w:color w:val="0B4159"/>
              </w:rPr>
            </w:pPr>
          </w:p>
        </w:tc>
      </w:tr>
      <w:tr w:rsidR="00494CEF" w:rsidRPr="00531EAE" w14:paraId="16BDB933" w14:textId="77777777" w:rsidTr="009E2ECA">
        <w:tc>
          <w:tcPr>
            <w:tcW w:w="7054" w:type="dxa"/>
          </w:tcPr>
          <w:p w14:paraId="6D1721C3" w14:textId="059B009D" w:rsidR="00494CEF" w:rsidRPr="00271EAE" w:rsidRDefault="009E4FEC" w:rsidP="00271EAE">
            <w:pPr>
              <w:pStyle w:val="Paragraphedeliste"/>
              <w:numPr>
                <w:ilvl w:val="0"/>
                <w:numId w:val="4"/>
              </w:numPr>
              <w:rPr>
                <w:rFonts w:ascii="Barlow" w:hAnsi="Barlow"/>
                <w:color w:val="0B4159"/>
                <w:sz w:val="24"/>
                <w:szCs w:val="24"/>
              </w:rPr>
            </w:pP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La </w:t>
            </w:r>
            <w:proofErr w:type="gramStart"/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>non réalisation</w:t>
            </w:r>
            <w:proofErr w:type="gramEnd"/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d’une antibioprophylaxie est identifié</w:t>
            </w:r>
            <w:r w:rsidR="00974D80" w:rsidRPr="00271EAE">
              <w:rPr>
                <w:rFonts w:ascii="Barlow" w:hAnsi="Barlow"/>
                <w:color w:val="0B4159"/>
                <w:sz w:val="24"/>
                <w:szCs w:val="24"/>
              </w:rPr>
              <w:t>e</w:t>
            </w:r>
            <w:r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 </w:t>
            </w:r>
            <w:r w:rsidR="00775EDE" w:rsidRPr="00271EAE">
              <w:rPr>
                <w:rFonts w:ascii="Barlow" w:hAnsi="Barlow"/>
                <w:color w:val="0B4159"/>
                <w:sz w:val="24"/>
                <w:szCs w:val="24"/>
              </w:rPr>
              <w:t>sur la check</w:t>
            </w:r>
            <w:r w:rsidR="00E953F0" w:rsidRPr="00271EAE">
              <w:rPr>
                <w:rFonts w:ascii="Barlow" w:hAnsi="Barlow"/>
                <w:color w:val="0B4159"/>
                <w:sz w:val="24"/>
                <w:szCs w:val="24"/>
              </w:rPr>
              <w:t>-</w:t>
            </w:r>
            <w:r w:rsidR="00775EDE" w:rsidRPr="00271EAE">
              <w:rPr>
                <w:rFonts w:ascii="Barlow" w:hAnsi="Barlow"/>
                <w:color w:val="0B4159"/>
                <w:sz w:val="24"/>
                <w:szCs w:val="24"/>
              </w:rPr>
              <w:t xml:space="preserve">list comme un NOGO </w:t>
            </w:r>
          </w:p>
          <w:p w14:paraId="5357B843" w14:textId="5507FE4E" w:rsidR="005878FF" w:rsidRPr="00531EAE" w:rsidRDefault="005878FF" w:rsidP="005878FF">
            <w:pPr>
              <w:rPr>
                <w:rFonts w:ascii="Barlow" w:hAnsi="Barlow"/>
                <w:i/>
                <w:sz w:val="20"/>
                <w:szCs w:val="20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 xml:space="preserve">Répondre oui si la </w:t>
            </w:r>
            <w:proofErr w:type="gramStart"/>
            <w:r w:rsidRPr="00531EAE">
              <w:rPr>
                <w:rFonts w:ascii="Barlow" w:hAnsi="Barlow"/>
                <w:i/>
                <w:sz w:val="20"/>
                <w:szCs w:val="20"/>
              </w:rPr>
              <w:t>non réalisation</w:t>
            </w:r>
            <w:proofErr w:type="gramEnd"/>
            <w:r w:rsidRPr="00531EAE">
              <w:rPr>
                <w:rFonts w:ascii="Barlow" w:hAnsi="Barlow"/>
                <w:i/>
                <w:sz w:val="20"/>
                <w:szCs w:val="20"/>
              </w:rPr>
              <w:t xml:space="preserve"> est identifiée comme un NOGO </w:t>
            </w:r>
          </w:p>
          <w:p w14:paraId="727E2D28" w14:textId="25537B40" w:rsidR="00C82F45" w:rsidRPr="00531EAE" w:rsidRDefault="005878FF" w:rsidP="009E2ECA">
            <w:pPr>
              <w:rPr>
                <w:rFonts w:ascii="Barlow" w:hAnsi="Barlow"/>
                <w:color w:val="1F497D" w:themeColor="text2"/>
                <w:sz w:val="24"/>
                <w:szCs w:val="24"/>
                <w:highlight w:val="yellow"/>
              </w:rPr>
            </w:pPr>
            <w:r w:rsidRPr="00531EAE">
              <w:rPr>
                <w:rFonts w:ascii="Barlow" w:hAnsi="Barlow"/>
                <w:i/>
                <w:sz w:val="20"/>
                <w:szCs w:val="20"/>
              </w:rPr>
              <w:t>Répondre non la non réalisation n’est pas identifiée comme un NOGO</w:t>
            </w:r>
            <w:r w:rsidRPr="00531EAE">
              <w:rPr>
                <w:rFonts w:ascii="Barlow" w:hAnsi="Barlow"/>
                <w:color w:val="1F497D" w:themeColor="text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</w:tcPr>
          <w:p w14:paraId="6D9756AF" w14:textId="5C821C96" w:rsidR="00494CEF" w:rsidRPr="00127F98" w:rsidRDefault="00CA38DA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09" w:type="dxa"/>
          </w:tcPr>
          <w:p w14:paraId="61E55ADA" w14:textId="068FA0C7" w:rsidR="00494CEF" w:rsidRPr="00127F98" w:rsidRDefault="00CA38DA" w:rsidP="009E2ECA">
            <w:pPr>
              <w:jc w:val="center"/>
              <w:rPr>
                <w:rFonts w:ascii="Barlow" w:hAnsi="Barlow"/>
                <w:color w:val="0B4159"/>
              </w:rPr>
            </w:pPr>
            <w:r w:rsidRPr="00127F98">
              <w:rPr>
                <w:rFonts w:ascii="Barlow" w:hAnsi="Barlow"/>
                <w:color w:val="0B4159"/>
              </w:rPr>
              <w:sym w:font="Wingdings" w:char="F06F"/>
            </w:r>
          </w:p>
        </w:tc>
        <w:tc>
          <w:tcPr>
            <w:tcW w:w="740" w:type="dxa"/>
          </w:tcPr>
          <w:p w14:paraId="36DB50F6" w14:textId="77777777" w:rsidR="00494CEF" w:rsidRPr="00127F98" w:rsidRDefault="00494CEF" w:rsidP="009E2ECA">
            <w:pPr>
              <w:rPr>
                <w:rFonts w:ascii="Barlow" w:hAnsi="Barlow"/>
                <w:color w:val="0B4159"/>
              </w:rPr>
            </w:pPr>
          </w:p>
        </w:tc>
      </w:tr>
    </w:tbl>
    <w:p w14:paraId="385F7306" w14:textId="77777777" w:rsidR="00C07425" w:rsidRPr="00531EAE" w:rsidRDefault="00C07425" w:rsidP="00C07425">
      <w:pPr>
        <w:rPr>
          <w:rFonts w:ascii="Barlow" w:hAnsi="Barlow"/>
          <w:sz w:val="16"/>
          <w:szCs w:val="16"/>
        </w:rPr>
      </w:pPr>
      <w:r w:rsidRPr="00531EAE">
        <w:rPr>
          <w:rFonts w:ascii="Barlow" w:hAnsi="Barlow"/>
          <w:sz w:val="16"/>
          <w:szCs w:val="16"/>
        </w:rPr>
        <w:t>*NA : non adapté</w:t>
      </w:r>
    </w:p>
    <w:p w14:paraId="385F7307" w14:textId="77777777" w:rsidR="0011165A" w:rsidRPr="00531EAE" w:rsidRDefault="0011165A">
      <w:pPr>
        <w:rPr>
          <w:rFonts w:ascii="Barlow" w:hAnsi="Barlow"/>
        </w:rPr>
      </w:pPr>
    </w:p>
    <w:sectPr w:rsidR="0011165A" w:rsidRPr="00531EA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F730A" w14:textId="77777777" w:rsidR="00A525A4" w:rsidRDefault="00A525A4" w:rsidP="00AB05FC">
      <w:pPr>
        <w:spacing w:after="0" w:line="240" w:lineRule="auto"/>
      </w:pPr>
      <w:r>
        <w:separator/>
      </w:r>
    </w:p>
  </w:endnote>
  <w:endnote w:type="continuationSeparator" w:id="0">
    <w:p w14:paraId="385F730B" w14:textId="77777777" w:rsidR="00A525A4" w:rsidRDefault="00A525A4" w:rsidP="00AB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9328809"/>
      <w:docPartObj>
        <w:docPartGallery w:val="Page Numbers (Bottom of Page)"/>
        <w:docPartUnique/>
      </w:docPartObj>
    </w:sdtPr>
    <w:sdtEndPr/>
    <w:sdtContent>
      <w:p w14:paraId="22F424D6" w14:textId="4159849A" w:rsidR="0049020C" w:rsidRDefault="0049020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3D568D" w14:textId="76D63D23" w:rsidR="00731A9B" w:rsidRPr="007030F5" w:rsidRDefault="0049020C">
    <w:pPr>
      <w:pStyle w:val="Pieddepage"/>
      <w:rPr>
        <w:rFonts w:ascii="Barlow" w:hAnsi="Barlow"/>
        <w:sz w:val="20"/>
        <w:szCs w:val="20"/>
      </w:rPr>
    </w:pPr>
    <w:r>
      <w:rPr>
        <w:rFonts w:ascii="Barlow" w:hAnsi="Barlow"/>
        <w:sz w:val="20"/>
        <w:szCs w:val="20"/>
      </w:rPr>
      <w:t xml:space="preserve">CCECQA – </w:t>
    </w:r>
    <w:proofErr w:type="spellStart"/>
    <w:r>
      <w:rPr>
        <w:rFonts w:ascii="Barlow" w:hAnsi="Barlow"/>
        <w:sz w:val="20"/>
        <w:szCs w:val="20"/>
      </w:rPr>
      <w:t>Cpias</w:t>
    </w:r>
    <w:proofErr w:type="spellEnd"/>
    <w:r>
      <w:rPr>
        <w:rFonts w:ascii="Barlow" w:hAnsi="Barlow"/>
        <w:sz w:val="20"/>
        <w:szCs w:val="20"/>
      </w:rPr>
      <w:t xml:space="preserve"> Nouvelle-Aquitaine /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F7308" w14:textId="77777777" w:rsidR="00A525A4" w:rsidRDefault="00A525A4" w:rsidP="00AB05FC">
      <w:pPr>
        <w:spacing w:after="0" w:line="240" w:lineRule="auto"/>
      </w:pPr>
      <w:r>
        <w:separator/>
      </w:r>
    </w:p>
  </w:footnote>
  <w:footnote w:type="continuationSeparator" w:id="0">
    <w:p w14:paraId="385F7309" w14:textId="77777777" w:rsidR="00A525A4" w:rsidRDefault="00A525A4" w:rsidP="00AB0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62FD"/>
    <w:multiLevelType w:val="hybridMultilevel"/>
    <w:tmpl w:val="3354A1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94D3D"/>
    <w:multiLevelType w:val="hybridMultilevel"/>
    <w:tmpl w:val="B6429A2E"/>
    <w:lvl w:ilvl="0" w:tplc="EF1A7FFE">
      <w:start w:val="1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34E"/>
    <w:multiLevelType w:val="hybridMultilevel"/>
    <w:tmpl w:val="684EEF80"/>
    <w:lvl w:ilvl="0" w:tplc="B684927C">
      <w:start w:val="1"/>
      <w:numFmt w:val="decimal"/>
      <w:lvlText w:val="%1."/>
      <w:lvlJc w:val="left"/>
      <w:pPr>
        <w:ind w:left="360" w:hanging="360"/>
      </w:pPr>
      <w:rPr>
        <w:color w:val="0B4159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913A3"/>
    <w:multiLevelType w:val="hybridMultilevel"/>
    <w:tmpl w:val="C81677E6"/>
    <w:lvl w:ilvl="0" w:tplc="2EFCC9FC">
      <w:start w:val="1"/>
      <w:numFmt w:val="decimal"/>
      <w:lvlText w:val="%1."/>
      <w:lvlJc w:val="left"/>
      <w:pPr>
        <w:ind w:left="360" w:hanging="360"/>
      </w:pPr>
      <w:rPr>
        <w:color w:val="0B4159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775DF"/>
    <w:multiLevelType w:val="hybridMultilevel"/>
    <w:tmpl w:val="83CA3A68"/>
    <w:lvl w:ilvl="0" w:tplc="1626FD1A">
      <w:start w:val="1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02467"/>
    <w:multiLevelType w:val="hybridMultilevel"/>
    <w:tmpl w:val="2996A9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05131"/>
    <w:multiLevelType w:val="hybridMultilevel"/>
    <w:tmpl w:val="220C81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385035">
    <w:abstractNumId w:val="5"/>
  </w:num>
  <w:num w:numId="2" w16cid:durableId="1397892469">
    <w:abstractNumId w:val="6"/>
  </w:num>
  <w:num w:numId="3" w16cid:durableId="68501121">
    <w:abstractNumId w:val="3"/>
  </w:num>
  <w:num w:numId="4" w16cid:durableId="1914661681">
    <w:abstractNumId w:val="2"/>
  </w:num>
  <w:num w:numId="5" w16cid:durableId="1639144711">
    <w:abstractNumId w:val="0"/>
  </w:num>
  <w:num w:numId="6" w16cid:durableId="1522359245">
    <w:abstractNumId w:val="4"/>
  </w:num>
  <w:num w:numId="7" w16cid:durableId="46566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65A"/>
    <w:rsid w:val="00020085"/>
    <w:rsid w:val="00046616"/>
    <w:rsid w:val="0008552F"/>
    <w:rsid w:val="000C5ED4"/>
    <w:rsid w:val="00100726"/>
    <w:rsid w:val="0010688F"/>
    <w:rsid w:val="0011165A"/>
    <w:rsid w:val="00127F98"/>
    <w:rsid w:val="00154E0A"/>
    <w:rsid w:val="001969AE"/>
    <w:rsid w:val="001E3847"/>
    <w:rsid w:val="0021368D"/>
    <w:rsid w:val="00230969"/>
    <w:rsid w:val="00254B00"/>
    <w:rsid w:val="00271EAE"/>
    <w:rsid w:val="00277906"/>
    <w:rsid w:val="00281C93"/>
    <w:rsid w:val="002D2F93"/>
    <w:rsid w:val="002E4523"/>
    <w:rsid w:val="002F4663"/>
    <w:rsid w:val="002F74B1"/>
    <w:rsid w:val="00314F73"/>
    <w:rsid w:val="0032580C"/>
    <w:rsid w:val="00347C34"/>
    <w:rsid w:val="00353C68"/>
    <w:rsid w:val="00380897"/>
    <w:rsid w:val="00387CF4"/>
    <w:rsid w:val="003917A7"/>
    <w:rsid w:val="004002E5"/>
    <w:rsid w:val="0040513A"/>
    <w:rsid w:val="0049020C"/>
    <w:rsid w:val="00494CEF"/>
    <w:rsid w:val="004B49E1"/>
    <w:rsid w:val="004B7A2C"/>
    <w:rsid w:val="004D4936"/>
    <w:rsid w:val="00524032"/>
    <w:rsid w:val="00531EAE"/>
    <w:rsid w:val="00560EA8"/>
    <w:rsid w:val="005878FF"/>
    <w:rsid w:val="00593783"/>
    <w:rsid w:val="006133B0"/>
    <w:rsid w:val="00615578"/>
    <w:rsid w:val="0062033E"/>
    <w:rsid w:val="00661C72"/>
    <w:rsid w:val="00682767"/>
    <w:rsid w:val="00697EC5"/>
    <w:rsid w:val="006F1DE2"/>
    <w:rsid w:val="006F5306"/>
    <w:rsid w:val="007030F5"/>
    <w:rsid w:val="00731A9B"/>
    <w:rsid w:val="00745999"/>
    <w:rsid w:val="00775EDE"/>
    <w:rsid w:val="007A5FE3"/>
    <w:rsid w:val="007D2195"/>
    <w:rsid w:val="0081070B"/>
    <w:rsid w:val="008300BD"/>
    <w:rsid w:val="0089123E"/>
    <w:rsid w:val="008926AE"/>
    <w:rsid w:val="008E604D"/>
    <w:rsid w:val="00963A99"/>
    <w:rsid w:val="0096728A"/>
    <w:rsid w:val="00974D80"/>
    <w:rsid w:val="00976C48"/>
    <w:rsid w:val="00982140"/>
    <w:rsid w:val="0099523D"/>
    <w:rsid w:val="009974FC"/>
    <w:rsid w:val="009B097D"/>
    <w:rsid w:val="009E12BB"/>
    <w:rsid w:val="009E4FEC"/>
    <w:rsid w:val="00A525A4"/>
    <w:rsid w:val="00A64063"/>
    <w:rsid w:val="00A81EE4"/>
    <w:rsid w:val="00AB05FC"/>
    <w:rsid w:val="00AB0602"/>
    <w:rsid w:val="00AD1359"/>
    <w:rsid w:val="00AF093E"/>
    <w:rsid w:val="00B230ED"/>
    <w:rsid w:val="00B235F9"/>
    <w:rsid w:val="00B375CC"/>
    <w:rsid w:val="00B41FBE"/>
    <w:rsid w:val="00B4317E"/>
    <w:rsid w:val="00B64FA6"/>
    <w:rsid w:val="00B679A6"/>
    <w:rsid w:val="00C046E0"/>
    <w:rsid w:val="00C07425"/>
    <w:rsid w:val="00C25A6C"/>
    <w:rsid w:val="00C4397A"/>
    <w:rsid w:val="00C50416"/>
    <w:rsid w:val="00C56093"/>
    <w:rsid w:val="00C75533"/>
    <w:rsid w:val="00C82F45"/>
    <w:rsid w:val="00C94739"/>
    <w:rsid w:val="00C9622A"/>
    <w:rsid w:val="00CA38DA"/>
    <w:rsid w:val="00CB07A0"/>
    <w:rsid w:val="00CB6BB9"/>
    <w:rsid w:val="00CC0133"/>
    <w:rsid w:val="00CE057B"/>
    <w:rsid w:val="00D13CB8"/>
    <w:rsid w:val="00D15AAB"/>
    <w:rsid w:val="00D475D1"/>
    <w:rsid w:val="00D730CC"/>
    <w:rsid w:val="00D862D6"/>
    <w:rsid w:val="00D90E0A"/>
    <w:rsid w:val="00E00ABB"/>
    <w:rsid w:val="00E36992"/>
    <w:rsid w:val="00E72B50"/>
    <w:rsid w:val="00E953F0"/>
    <w:rsid w:val="00F17351"/>
    <w:rsid w:val="00F32716"/>
    <w:rsid w:val="00F84C96"/>
    <w:rsid w:val="00F94533"/>
    <w:rsid w:val="00FC624D"/>
    <w:rsid w:val="00FD27EB"/>
    <w:rsid w:val="00FD4080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7225"/>
  <w15:docId w15:val="{F8FD71A7-E041-4CC1-8BBD-C87238B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05FC"/>
  </w:style>
  <w:style w:type="paragraph" w:styleId="Pieddepage">
    <w:name w:val="footer"/>
    <w:basedOn w:val="Normal"/>
    <w:link w:val="PieddepageCar"/>
    <w:uiPriority w:val="99"/>
    <w:unhideWhenUsed/>
    <w:rsid w:val="00AB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05FC"/>
  </w:style>
  <w:style w:type="paragraph" w:styleId="Textedebulles">
    <w:name w:val="Balloon Text"/>
    <w:basedOn w:val="Normal"/>
    <w:link w:val="TextedebullesCar"/>
    <w:uiPriority w:val="99"/>
    <w:semiHidden/>
    <w:unhideWhenUsed/>
    <w:rsid w:val="00AB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5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0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05FF6A0EA48428DE933791AD4FD00" ma:contentTypeVersion="16" ma:contentTypeDescription="Crée un document." ma:contentTypeScope="" ma:versionID="1c3acda769c4501a4b8c85869524bc51">
  <xsd:schema xmlns:xsd="http://www.w3.org/2001/XMLSchema" xmlns:xs="http://www.w3.org/2001/XMLSchema" xmlns:p="http://schemas.microsoft.com/office/2006/metadata/properties" xmlns:ns2="2a8d722c-d242-47fa-826f-86b2f1fa5aea" xmlns:ns3="b15e59e7-5ea4-4cd6-a810-ee096dfc3558" targetNamespace="http://schemas.microsoft.com/office/2006/metadata/properties" ma:root="true" ma:fieldsID="acbd11d8fe473f5db3bfd579b52cca9f" ns2:_="" ns3:_="">
    <xsd:import namespace="2a8d722c-d242-47fa-826f-86b2f1fa5aea"/>
    <xsd:import namespace="b15e59e7-5ea4-4cd6-a810-ee096dfc35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722c-d242-47fa-826f-86b2f1fa5a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b03b68-29da-49aa-8ff3-9b936bc07a39}" ma:internalName="TaxCatchAll" ma:showField="CatchAllData" ma:web="2a8d722c-d242-47fa-826f-86b2f1fa5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e59e7-5ea4-4cd6-a810-ee096dfc3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5" nillable="true" ma:displayName="État de validation" ma:internalName="_x00c9_tat_x0020_de_x0020_validation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b36ff21-6ba8-4257-b34f-50ed9eb66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8d722c-d242-47fa-826f-86b2f1fa5aea" xsi:nil="true"/>
    <lcf76f155ced4ddcb4097134ff3c332f xmlns="b15e59e7-5ea4-4cd6-a810-ee096dfc3558">
      <Terms xmlns="http://schemas.microsoft.com/office/infopath/2007/PartnerControls"/>
    </lcf76f155ced4ddcb4097134ff3c332f>
    <_Flow_SignoffStatus xmlns="b15e59e7-5ea4-4cd6-a810-ee096dfc3558" xsi:nil="true"/>
    <_dlc_DocId xmlns="2a8d722c-d242-47fa-826f-86b2f1fa5aea">3PYUKQXUSKC5-2088254452-498360</_dlc_DocId>
    <_dlc_DocIdUrl xmlns="2a8d722c-d242-47fa-826f-86b2f1fa5aea">
      <Url>https://ccecqatemp.sharepoint.com/sites/N/_layouts/15/DocIdRedir.aspx?ID=3PYUKQXUSKC5-2088254452-498360</Url>
      <Description>3PYUKQXUSKC5-2088254452-498360</Description>
    </_dlc_DocIdUrl>
  </documentManagement>
</p:properties>
</file>

<file path=customXml/itemProps1.xml><?xml version="1.0" encoding="utf-8"?>
<ds:datastoreItem xmlns:ds="http://schemas.openxmlformats.org/officeDocument/2006/customXml" ds:itemID="{C1ACDA97-8F69-46B4-B779-A9B811D2C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33B28-C9C2-4D08-904E-7265CA9068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6E9B7E-016E-4428-BA36-74D1FB8D2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d722c-d242-47fa-826f-86b2f1fa5aea"/>
    <ds:schemaRef ds:uri="b15e59e7-5ea4-4cd6-a810-ee096dfc3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B5EA87-E455-4BCC-B8EA-F73DEB0D6FB2}">
  <ds:schemaRefs>
    <ds:schemaRef ds:uri="http://schemas.microsoft.com/office/2006/metadata/properties"/>
    <ds:schemaRef ds:uri="http://schemas.microsoft.com/office/infopath/2007/PartnerControls"/>
    <ds:schemaRef ds:uri="2a8d722c-d242-47fa-826f-86b2f1fa5aea"/>
    <ds:schemaRef ds:uri="b15e59e7-5ea4-4cd6-a810-ee096dfc35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1475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GAUTIER Christophe</dc:creator>
  <cp:lastModifiedBy>Anne Taraborrelli</cp:lastModifiedBy>
  <cp:revision>97</cp:revision>
  <cp:lastPrinted>2017-12-13T08:21:00Z</cp:lastPrinted>
  <dcterms:created xsi:type="dcterms:W3CDTF">2017-10-02T14:18:00Z</dcterms:created>
  <dcterms:modified xsi:type="dcterms:W3CDTF">2024-03-29T10:53:00Z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0x01010066605FF6A0EA48428DE933791AD4FD00</vt:lpwstr>
  </property>
  <property fmtid="{D5CDD505-2E9C-101B-9397-08002B2CF9AE}" pid="3" name="Order">
    <vt:r8>6675400</vt:r8>
  </property>
  <property fmtid="{D5CDD505-2E9C-101B-9397-08002B2CF9AE}" pid="4" name="_dlc_DocIdItemGuid">
    <vt:lpwstr>c98d2c80-56c6-4564-b3e1-ae01842e6b88</vt:lpwstr>
  </property>
  <property fmtid="{D5CDD505-2E9C-101B-9397-08002B2CF9AE}" pid="5" name="MediaServiceImageTags">
    <vt:lpwstr/>
  </property>
</Properties>
</file>